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9BEC" w14:textId="77777777" w:rsidR="00940C7A" w:rsidRPr="00572513" w:rsidRDefault="00940C7A" w:rsidP="00940C7A">
      <w:pPr>
        <w:spacing w:line="400" w:lineRule="exact"/>
        <w:jc w:val="center"/>
        <w:rPr>
          <w:rFonts w:eastAsia="標楷體"/>
          <w:b/>
          <w:kern w:val="2"/>
          <w:sz w:val="28"/>
          <w:szCs w:val="28"/>
          <w:lang w:eastAsia="zh-TW"/>
        </w:rPr>
      </w:pPr>
      <w:r w:rsidRPr="00572513">
        <w:rPr>
          <w:rFonts w:eastAsia="標楷體"/>
          <w:b/>
          <w:kern w:val="2"/>
          <w:sz w:val="28"/>
          <w:szCs w:val="28"/>
          <w:lang w:eastAsia="zh-TW"/>
        </w:rPr>
        <w:t>衛生福利部國民</w:t>
      </w:r>
      <w:proofErr w:type="gramStart"/>
      <w:r w:rsidRPr="00572513">
        <w:rPr>
          <w:rFonts w:eastAsia="標楷體"/>
          <w:b/>
          <w:kern w:val="2"/>
          <w:sz w:val="28"/>
          <w:szCs w:val="28"/>
          <w:lang w:eastAsia="zh-TW"/>
        </w:rPr>
        <w:t>健康署</w:t>
      </w:r>
      <w:proofErr w:type="gramEnd"/>
      <w:r w:rsidRPr="00572513">
        <w:rPr>
          <w:rFonts w:eastAsia="標楷體"/>
          <w:b/>
          <w:kern w:val="2"/>
          <w:sz w:val="28"/>
          <w:szCs w:val="28"/>
          <w:lang w:eastAsia="zh-TW"/>
        </w:rPr>
        <w:t>「罕見疾病個案通報</w:t>
      </w:r>
      <w:r>
        <w:rPr>
          <w:rFonts w:eastAsia="標楷體"/>
          <w:b/>
          <w:kern w:val="2"/>
          <w:sz w:val="28"/>
          <w:szCs w:val="28"/>
          <w:lang w:eastAsia="zh-TW"/>
        </w:rPr>
        <w:t>審查基準</w:t>
      </w:r>
      <w:r w:rsidRPr="00572513">
        <w:rPr>
          <w:rFonts w:eastAsia="標楷體"/>
          <w:b/>
          <w:kern w:val="2"/>
          <w:sz w:val="28"/>
          <w:szCs w:val="28"/>
          <w:lang w:eastAsia="zh-TW"/>
        </w:rPr>
        <w:t>機制」（送審</w:t>
      </w:r>
      <w:r w:rsidRPr="00572513">
        <w:rPr>
          <w:rFonts w:eastAsia="標楷體" w:hint="eastAsia"/>
          <w:b/>
          <w:kern w:val="2"/>
          <w:sz w:val="28"/>
          <w:szCs w:val="28"/>
          <w:lang w:eastAsia="zh-TW"/>
        </w:rPr>
        <w:t>資料</w:t>
      </w:r>
      <w:r w:rsidRPr="00572513">
        <w:rPr>
          <w:rFonts w:eastAsia="標楷體"/>
          <w:b/>
          <w:kern w:val="2"/>
          <w:sz w:val="28"/>
          <w:szCs w:val="28"/>
          <w:lang w:eastAsia="zh-TW"/>
        </w:rPr>
        <w:t>表</w:t>
      </w:r>
      <w:r w:rsidRPr="00572513">
        <w:rPr>
          <w:rFonts w:eastAsia="標楷體" w:hint="eastAsia"/>
          <w:b/>
          <w:kern w:val="2"/>
          <w:sz w:val="28"/>
          <w:szCs w:val="28"/>
          <w:lang w:eastAsia="zh-TW"/>
        </w:rPr>
        <w:t>）</w:t>
      </w:r>
    </w:p>
    <w:p w14:paraId="349C7F3B" w14:textId="77777777" w:rsidR="00940C7A" w:rsidRPr="00572513" w:rsidRDefault="00940C7A" w:rsidP="00940C7A">
      <w:pPr>
        <w:spacing w:line="400" w:lineRule="exact"/>
        <w:jc w:val="center"/>
        <w:rPr>
          <w:rFonts w:ascii="Times New Roman" w:eastAsia="標楷體" w:hAnsi="Times New Roman"/>
          <w:kern w:val="2"/>
          <w:sz w:val="28"/>
          <w:szCs w:val="28"/>
          <w:lang w:eastAsia="zh-TW"/>
        </w:rPr>
      </w:pPr>
      <w:r w:rsidRPr="00572513">
        <w:rPr>
          <w:rFonts w:ascii="Times New Roman" w:eastAsia="標楷體" w:hAnsi="Times New Roman" w:hint="eastAsia"/>
          <w:kern w:val="2"/>
          <w:sz w:val="28"/>
          <w:szCs w:val="28"/>
          <w:lang w:eastAsia="zh-TW"/>
        </w:rPr>
        <w:t>-</w:t>
      </w:r>
      <w:r>
        <w:rPr>
          <w:rFonts w:ascii="Times New Roman" w:eastAsia="標楷體" w:hAnsi="Times New Roman"/>
          <w:kern w:val="2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G</w:t>
      </w:r>
      <w:r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NE</w:t>
      </w:r>
      <w:r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遠端</w:t>
      </w:r>
      <w:proofErr w:type="gramStart"/>
      <w:r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肌</w:t>
      </w:r>
      <w:proofErr w:type="gramEnd"/>
      <w:r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病變</w:t>
      </w:r>
      <w:r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 xml:space="preserve">[GNE myopathy] </w:t>
      </w:r>
      <w:r w:rsidRPr="00572513">
        <w:rPr>
          <w:rFonts w:ascii="Times New Roman" w:eastAsia="標楷體" w:hAnsi="Times New Roman" w:hint="eastAsia"/>
          <w:kern w:val="2"/>
          <w:sz w:val="28"/>
          <w:szCs w:val="28"/>
          <w:lang w:eastAsia="zh-TW"/>
        </w:rPr>
        <w:t>-</w:t>
      </w:r>
    </w:p>
    <w:p w14:paraId="72C9D3BF" w14:textId="77777777" w:rsidR="00940C7A" w:rsidRPr="00572513" w:rsidRDefault="00940C7A" w:rsidP="00940C7A">
      <w:pPr>
        <w:numPr>
          <w:ilvl w:val="3"/>
          <w:numId w:val="3"/>
        </w:numPr>
        <w:tabs>
          <w:tab w:val="clear" w:pos="1920"/>
        </w:tabs>
        <w:spacing w:beforeLines="50" w:before="120" w:afterLines="25" w:after="60" w:line="0" w:lineRule="atLeast"/>
        <w:ind w:left="284" w:hanging="284"/>
        <w:rPr>
          <w:rFonts w:ascii="標楷體" w:eastAsia="標楷體" w:hAnsi="標楷體"/>
          <w:kern w:val="2"/>
          <w:sz w:val="24"/>
          <w:lang w:eastAsia="zh-TW"/>
        </w:rPr>
      </w:pP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□臨床症狀及徵兆的病歷資料 (必要)</w:t>
      </w:r>
    </w:p>
    <w:p w14:paraId="43CD3402" w14:textId="77777777" w:rsidR="00940C7A" w:rsidRPr="00572513" w:rsidRDefault="00940C7A" w:rsidP="00940C7A">
      <w:pPr>
        <w:numPr>
          <w:ilvl w:val="3"/>
          <w:numId w:val="3"/>
        </w:numPr>
        <w:tabs>
          <w:tab w:val="clear" w:pos="1920"/>
        </w:tabs>
        <w:spacing w:beforeLines="25" w:before="60" w:afterLines="25" w:after="60" w:line="0" w:lineRule="atLeast"/>
        <w:ind w:left="283" w:hanging="283"/>
        <w:rPr>
          <w:rFonts w:ascii="標楷體" w:eastAsia="標楷體" w:hAnsi="標楷體"/>
          <w:kern w:val="2"/>
          <w:sz w:val="24"/>
          <w:lang w:eastAsia="zh-TW"/>
        </w:rPr>
      </w:pP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□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>基因檢測報告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 xml:space="preserve"> </w:t>
      </w: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(必要)</w:t>
      </w:r>
    </w:p>
    <w:p w14:paraId="325100AD" w14:textId="77777777" w:rsidR="00940C7A" w:rsidRPr="00572513" w:rsidRDefault="00940C7A" w:rsidP="00940C7A">
      <w:pPr>
        <w:numPr>
          <w:ilvl w:val="3"/>
          <w:numId w:val="3"/>
        </w:numPr>
        <w:tabs>
          <w:tab w:val="clear" w:pos="1920"/>
        </w:tabs>
        <w:spacing w:beforeLines="25" w:before="60" w:afterLines="50" w:after="120" w:line="0" w:lineRule="atLeast"/>
        <w:ind w:left="284" w:hanging="284"/>
        <w:rPr>
          <w:kern w:val="2"/>
          <w:sz w:val="24"/>
          <w:lang w:eastAsia="zh-TW"/>
        </w:rPr>
      </w:pP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□身體診察及檢驗報告(如影像報告、血液生化檢驗報告、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>神經電生理檢查資料</w:t>
      </w:r>
    </w:p>
    <w:p w14:paraId="6893BF6B" w14:textId="77777777" w:rsidR="00940C7A" w:rsidRPr="00572513" w:rsidRDefault="00940C7A" w:rsidP="00940C7A">
      <w:pPr>
        <w:spacing w:beforeLines="25" w:before="60" w:afterLines="50" w:after="120" w:line="0" w:lineRule="atLeast"/>
        <w:ind w:left="284" w:firstLineChars="100" w:firstLine="240"/>
        <w:rPr>
          <w:kern w:val="2"/>
          <w:sz w:val="24"/>
          <w:lang w:eastAsia="zh-TW"/>
        </w:rPr>
      </w:pP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>或肌肉切片檢查報告</w:t>
      </w: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等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>)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6096"/>
      </w:tblGrid>
      <w:tr w:rsidR="00940C7A" w:rsidRPr="00572513" w14:paraId="176F395F" w14:textId="77777777" w:rsidTr="00C27B9C">
        <w:trPr>
          <w:trHeight w:val="567"/>
          <w:tblHeader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07234C28" w14:textId="77777777" w:rsidR="00940C7A" w:rsidRPr="00572513" w:rsidRDefault="00940C7A" w:rsidP="00C27B9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項目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02D5DAA" w14:textId="77777777" w:rsidR="00940C7A" w:rsidRPr="00572513" w:rsidRDefault="00940C7A" w:rsidP="00C27B9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填寫部分</w:t>
            </w:r>
          </w:p>
        </w:tc>
      </w:tr>
      <w:tr w:rsidR="00940C7A" w:rsidRPr="00572513" w14:paraId="388A0A58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20F8B9AB" w14:textId="77777777" w:rsidR="00940C7A" w:rsidRPr="00572513" w:rsidRDefault="00940C7A" w:rsidP="00C27B9C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A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病歷資料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F7ABE4" w14:textId="77777777" w:rsidR="00940C7A" w:rsidRPr="00572513" w:rsidRDefault="00940C7A" w:rsidP="00C27B9C">
            <w:pPr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940C7A" w:rsidRPr="00572513" w14:paraId="6DA46D9E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22BB9482" w14:textId="77777777" w:rsidR="00940C7A" w:rsidRPr="00572513" w:rsidRDefault="00940C7A" w:rsidP="00C27B9C">
            <w:pPr>
              <w:spacing w:line="320" w:lineRule="exact"/>
              <w:ind w:firstLineChars="50" w:firstLine="120"/>
              <w:jc w:val="both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主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訴及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病史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3D098F" w14:textId="77777777" w:rsidR="00940C7A" w:rsidRPr="00572513" w:rsidRDefault="00940C7A" w:rsidP="00C27B9C">
            <w:pPr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940C7A" w:rsidRPr="00572513" w14:paraId="00BFD3E1" w14:textId="77777777" w:rsidTr="000D5E22">
        <w:trPr>
          <w:jc w:val="center"/>
        </w:trPr>
        <w:tc>
          <w:tcPr>
            <w:tcW w:w="3646" w:type="dxa"/>
            <w:shd w:val="clear" w:color="auto" w:fill="auto"/>
          </w:tcPr>
          <w:p w14:paraId="580E28DA" w14:textId="77777777" w:rsidR="00940C7A" w:rsidRPr="00572513" w:rsidRDefault="00940C7A" w:rsidP="000D5E22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2.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臨床症狀及表徵</w:t>
            </w:r>
          </w:p>
        </w:tc>
        <w:tc>
          <w:tcPr>
            <w:tcW w:w="6096" w:type="dxa"/>
            <w:shd w:val="clear" w:color="auto" w:fill="auto"/>
          </w:tcPr>
          <w:p w14:paraId="3242271C" w14:textId="77777777" w:rsidR="00940C7A" w:rsidRDefault="00940C7A" w:rsidP="000D5E22">
            <w:pPr>
              <w:spacing w:line="320" w:lineRule="exact"/>
              <w:ind w:left="120" w:hangingChars="50" w:hanging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2513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bookmarkStart w:id="0" w:name="_Hlk504025319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青春期至青年期發生之下之遠端</w:t>
            </w:r>
            <w:proofErr w:type="gramStart"/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肌</w:t>
            </w:r>
            <w:proofErr w:type="gramEnd"/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無力，以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前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脛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肌</w:t>
            </w:r>
          </w:p>
          <w:p w14:paraId="2EE336F0" w14:textId="77777777" w:rsidR="00940C7A" w:rsidRDefault="00940C7A" w:rsidP="000D5E22">
            <w:pPr>
              <w:spacing w:line="320" w:lineRule="exact"/>
              <w:ind w:leftChars="50" w:left="110" w:firstLineChars="100" w:firstLine="24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侵犯造成之垂足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(Dropped foot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早期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之表現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(Tibialis </w:t>
            </w:r>
          </w:p>
          <w:p w14:paraId="5DBF5FE4" w14:textId="77777777" w:rsidR="00940C7A" w:rsidRPr="007E0DE7" w:rsidRDefault="00940C7A" w:rsidP="000D5E22">
            <w:pPr>
              <w:spacing w:line="320" w:lineRule="exact"/>
              <w:ind w:leftChars="50" w:left="110" w:firstLineChars="100" w:firstLine="24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anterior muscle involvement)</w:t>
            </w:r>
            <w:bookmarkEnd w:id="0"/>
          </w:p>
          <w:p w14:paraId="11CE8B57" w14:textId="77777777" w:rsidR="00940C7A" w:rsidRDefault="00940C7A" w:rsidP="000D5E22">
            <w:pPr>
              <w:spacing w:line="320" w:lineRule="exact"/>
              <w:ind w:left="120" w:hangingChars="50" w:hanging="120"/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bookmarkStart w:id="1" w:name="_Hlk504024966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股四頭</w:t>
            </w:r>
            <w:proofErr w:type="gramStart"/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肌</w:t>
            </w:r>
            <w:proofErr w:type="gramEnd"/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相對未受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4"/>
                <w:lang w:eastAsia="zh-TW"/>
              </w:rPr>
              <w:t>或少受</w:t>
            </w:r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侵犯</w:t>
            </w:r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 xml:space="preserve">Quadriceps femoris: </w:t>
            </w:r>
          </w:p>
          <w:p w14:paraId="3BC45675" w14:textId="77777777" w:rsidR="00940C7A" w:rsidRPr="007E0DE7" w:rsidRDefault="00940C7A" w:rsidP="000D5E22">
            <w:pPr>
              <w:spacing w:line="320" w:lineRule="exact"/>
              <w:ind w:leftChars="50" w:left="110" w:firstLineChars="100" w:firstLine="239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re</w:t>
            </w:r>
            <w:r w:rsidRPr="007E0DE7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lative sparing)</w:t>
            </w:r>
            <w:bookmarkEnd w:id="1"/>
          </w:p>
          <w:p w14:paraId="763595C6" w14:textId="77777777" w:rsidR="00940C7A" w:rsidRPr="00572513" w:rsidRDefault="00940C7A" w:rsidP="000D5E22">
            <w:pPr>
              <w:spacing w:line="320" w:lineRule="exact"/>
              <w:ind w:left="247" w:hanging="247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頸部無力</w:t>
            </w:r>
            <w:r w:rsidRPr="007E0D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(Neck weakness)</w:t>
            </w:r>
          </w:p>
        </w:tc>
      </w:tr>
      <w:tr w:rsidR="00940C7A" w:rsidRPr="00572513" w14:paraId="744F74DD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5A301775" w14:textId="77777777" w:rsidR="00940C7A" w:rsidRPr="00572513" w:rsidRDefault="00940C7A" w:rsidP="00C27B9C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200D09B" w14:textId="77777777" w:rsidR="00940C7A" w:rsidRPr="00572513" w:rsidRDefault="00940C7A" w:rsidP="00C27B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940C7A" w:rsidRPr="00572513" w14:paraId="49A3E8B2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27434916" w14:textId="77777777" w:rsidR="00940C7A" w:rsidRPr="00572513" w:rsidRDefault="00940C7A" w:rsidP="00C27B9C">
            <w:pPr>
              <w:spacing w:line="320" w:lineRule="exact"/>
              <w:ind w:firstLineChars="50" w:firstLine="120"/>
              <w:jc w:val="both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5792B4" w14:textId="77777777" w:rsidR="00940C7A" w:rsidRPr="00572513" w:rsidRDefault="00940C7A" w:rsidP="00C27B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940C7A" w:rsidRPr="00572513" w14:paraId="701F6052" w14:textId="77777777" w:rsidTr="00C27B9C">
        <w:trPr>
          <w:trHeight w:val="967"/>
          <w:jc w:val="center"/>
        </w:trPr>
        <w:tc>
          <w:tcPr>
            <w:tcW w:w="3646" w:type="dxa"/>
            <w:shd w:val="clear" w:color="auto" w:fill="auto"/>
          </w:tcPr>
          <w:p w14:paraId="3022BE52" w14:textId="77777777" w:rsidR="00940C7A" w:rsidRPr="00572513" w:rsidRDefault="00940C7A" w:rsidP="000D5E22">
            <w:pPr>
              <w:spacing w:line="320" w:lineRule="exact"/>
              <w:ind w:leftChars="50" w:left="412" w:hangingChars="126" w:hanging="302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放射線檢查之影像報告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肌肉系統電腦斷層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或磁振造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影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14:paraId="3FEC1878" w14:textId="77777777" w:rsidR="00940C7A" w:rsidRDefault="00940C7A" w:rsidP="000D5E2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□ 前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脛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肌侵犯</w:t>
            </w:r>
          </w:p>
          <w:p w14:paraId="5F7394C6" w14:textId="77777777" w:rsidR="00940C7A" w:rsidRPr="00572513" w:rsidRDefault="00940C7A" w:rsidP="000D5E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股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四頭肌未受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或少受侵犯</w:t>
            </w:r>
          </w:p>
        </w:tc>
      </w:tr>
      <w:tr w:rsidR="00940C7A" w:rsidRPr="00572513" w14:paraId="1B7D628D" w14:textId="77777777" w:rsidTr="00C27B9C">
        <w:trPr>
          <w:trHeight w:val="1167"/>
          <w:jc w:val="center"/>
        </w:trPr>
        <w:tc>
          <w:tcPr>
            <w:tcW w:w="3646" w:type="dxa"/>
            <w:shd w:val="clear" w:color="auto" w:fill="auto"/>
          </w:tcPr>
          <w:p w14:paraId="7EBF154F" w14:textId="77777777" w:rsidR="00940C7A" w:rsidRDefault="00940C7A" w:rsidP="000D5E22">
            <w:pPr>
              <w:spacing w:line="320" w:lineRule="exact"/>
              <w:ind w:leftChars="50" w:left="405" w:hangingChars="123" w:hanging="295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3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神經電生理檢查資料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務必含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br/>
            </w:r>
            <w:r w:rsidRPr="00605E1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原始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檢驗報告數據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)</w:t>
            </w:r>
          </w:p>
          <w:p w14:paraId="03A16AB8" w14:textId="77777777" w:rsidR="00940C7A" w:rsidRPr="00572513" w:rsidRDefault="00940C7A" w:rsidP="000D5E22">
            <w:pPr>
              <w:spacing w:line="320" w:lineRule="exact"/>
              <w:ind w:firstLineChars="10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(1)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肌電圖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F355150" w14:textId="77777777" w:rsidR="00940C7A" w:rsidRPr="00572513" w:rsidRDefault="00940C7A" w:rsidP="00C27B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proofErr w:type="gramStart"/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肌原性</w:t>
            </w:r>
            <w:proofErr w:type="gramEnd"/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病變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M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yogenic change)</w:t>
            </w:r>
          </w:p>
        </w:tc>
      </w:tr>
      <w:tr w:rsidR="00940C7A" w:rsidRPr="00572513" w14:paraId="4CFD2A0B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343A71B2" w14:textId="77777777" w:rsidR="00940C7A" w:rsidRPr="00572513" w:rsidRDefault="00940C7A" w:rsidP="00C27B9C">
            <w:pPr>
              <w:spacing w:line="320" w:lineRule="exact"/>
              <w:ind w:firstLineChars="50" w:firstLine="120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4.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肌肉切片檢查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1289587" w14:textId="77777777" w:rsidR="00940C7A" w:rsidRPr="007E0DE7" w:rsidRDefault="00940C7A" w:rsidP="00C27B9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著邊空泡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(Rimmed vacuole)</w:t>
            </w:r>
          </w:p>
        </w:tc>
      </w:tr>
      <w:tr w:rsidR="00940C7A" w:rsidRPr="00572513" w14:paraId="216458FB" w14:textId="77777777" w:rsidTr="00C27B9C">
        <w:trPr>
          <w:trHeight w:val="567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2742C535" w14:textId="77777777" w:rsidR="00940C7A" w:rsidRPr="00572513" w:rsidRDefault="00940C7A" w:rsidP="00C27B9C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C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實驗室檢查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7945A98" w14:textId="77777777" w:rsidR="00940C7A" w:rsidRPr="00572513" w:rsidRDefault="00940C7A" w:rsidP="00C27B9C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/>
                <w:b/>
                <w:kern w:val="2"/>
                <w:sz w:val="24"/>
                <w:u w:val="single"/>
                <w:lang w:eastAsia="zh-TW"/>
              </w:rPr>
            </w:pPr>
          </w:p>
        </w:tc>
      </w:tr>
      <w:tr w:rsidR="00940C7A" w:rsidRPr="00572513" w14:paraId="1DA99D19" w14:textId="77777777" w:rsidTr="00C27B9C">
        <w:trPr>
          <w:trHeight w:val="1033"/>
          <w:jc w:val="center"/>
        </w:trPr>
        <w:tc>
          <w:tcPr>
            <w:tcW w:w="3646" w:type="dxa"/>
            <w:shd w:val="clear" w:color="auto" w:fill="auto"/>
            <w:vAlign w:val="center"/>
          </w:tcPr>
          <w:p w14:paraId="21B64DE8" w14:textId="77777777" w:rsidR="00940C7A" w:rsidRPr="00572513" w:rsidRDefault="00940C7A" w:rsidP="00C27B9C">
            <w:pPr>
              <w:spacing w:line="320" w:lineRule="exact"/>
              <w:ind w:leftChars="49" w:left="413" w:hangingChars="127" w:hanging="305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相關基因檢測報告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請附實驗室報告影本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9D78403" w14:textId="77777777" w:rsidR="00940C7A" w:rsidRDefault="00940C7A" w:rsidP="00C27B9C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Homozygous or compound heterozygous mutations in </w:t>
            </w:r>
          </w:p>
          <w:p w14:paraId="0BF052EA" w14:textId="77777777" w:rsidR="00940C7A" w:rsidRPr="00572513" w:rsidRDefault="00940C7A" w:rsidP="00C27B9C">
            <w:pPr>
              <w:spacing w:line="320" w:lineRule="exact"/>
              <w:ind w:leftChars="-45" w:left="-99" w:firstLineChars="150" w:firstLine="360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the </w:t>
            </w:r>
            <w:r w:rsidRPr="00476324">
              <w:rPr>
                <w:rFonts w:ascii="Times New Roman" w:eastAsia="標楷體" w:hAnsi="Times New Roman"/>
                <w:i/>
                <w:kern w:val="2"/>
                <w:sz w:val="24"/>
                <w:lang w:eastAsia="zh-TW"/>
              </w:rPr>
              <w:t>GNE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gene</w:t>
            </w:r>
          </w:p>
        </w:tc>
      </w:tr>
      <w:tr w:rsidR="00940C7A" w:rsidRPr="00572513" w14:paraId="5224E48F" w14:textId="77777777" w:rsidTr="00C27B9C">
        <w:trPr>
          <w:trHeight w:val="1113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381" w14:textId="77777777" w:rsidR="00940C7A" w:rsidRPr="00572513" w:rsidRDefault="00940C7A" w:rsidP="00C27B9C">
            <w:pPr>
              <w:spacing w:line="320" w:lineRule="exact"/>
              <w:ind w:firstLineChars="50" w:firstLine="120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血液生化檢查</w:t>
            </w:r>
          </w:p>
          <w:p w14:paraId="084DA0EB" w14:textId="77777777" w:rsidR="00940C7A" w:rsidRPr="00572513" w:rsidRDefault="00940C7A" w:rsidP="00C27B9C">
            <w:pPr>
              <w:spacing w:line="320" w:lineRule="exact"/>
              <w:ind w:leftChars="176" w:left="387" w:firstLine="2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血液</w:t>
            </w:r>
            <w:proofErr w:type="gramStart"/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肌酸激酶</w:t>
            </w:r>
            <w:proofErr w:type="gramEnd"/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檢驗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2E3" w14:textId="77777777" w:rsidR="00940C7A" w:rsidRPr="00572513" w:rsidRDefault="00940C7A" w:rsidP="00C27B9C">
            <w:pPr>
              <w:spacing w:line="320" w:lineRule="exact"/>
              <w:ind w:leftChars="5" w:left="273" w:hangingChars="109" w:hanging="262"/>
              <w:jc w:val="both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血液</w:t>
            </w:r>
            <w:proofErr w:type="gramStart"/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肌酸激酶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值上升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Elevated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serum creatine kinase level)</w:t>
            </w:r>
          </w:p>
        </w:tc>
      </w:tr>
    </w:tbl>
    <w:p w14:paraId="6C611079" w14:textId="77777777" w:rsidR="00940C7A" w:rsidRPr="00572513" w:rsidRDefault="00940C7A" w:rsidP="00940C7A">
      <w:pPr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14:paraId="62C1D995" w14:textId="77777777" w:rsidR="00940C7A" w:rsidRPr="00D855A5" w:rsidRDefault="00940C7A" w:rsidP="00940C7A">
      <w:pPr>
        <w:spacing w:beforeLines="50" w:before="120" w:afterLines="50" w:after="120" w:line="0" w:lineRule="atLeast"/>
        <w:jc w:val="center"/>
        <w:rPr>
          <w:rFonts w:eastAsia="標楷體"/>
        </w:rPr>
      </w:pPr>
    </w:p>
    <w:p w14:paraId="417E12F1" w14:textId="77777777" w:rsidR="004D2AEF" w:rsidRPr="00FE5C0B" w:rsidRDefault="00940C7A" w:rsidP="004D2AEF">
      <w:pPr>
        <w:spacing w:line="40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</w:pPr>
      <w:r>
        <w:rPr>
          <w:lang w:eastAsia="zh-TW"/>
        </w:rPr>
        <w:br w:type="page"/>
      </w:r>
      <w:r w:rsidR="004D2AEF" w:rsidRPr="00FE5C0B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lastRenderedPageBreak/>
        <w:t>衛生福利部國民</w:t>
      </w:r>
      <w:proofErr w:type="gramStart"/>
      <w:r w:rsidR="004D2AEF" w:rsidRPr="00FE5C0B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健康署</w:t>
      </w:r>
      <w:proofErr w:type="gramEnd"/>
      <w:r w:rsidR="004D2AEF" w:rsidRPr="00FE5C0B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「罕見疾病個案通報審查基準機制」（</w:t>
      </w:r>
      <w:r w:rsidR="004D2AEF"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審查基準表）</w:t>
      </w:r>
    </w:p>
    <w:p w14:paraId="1CA98417" w14:textId="77777777" w:rsidR="004D2AEF" w:rsidRPr="00FE5C0B" w:rsidRDefault="004D2AEF" w:rsidP="004D2AEF">
      <w:pPr>
        <w:spacing w:afterLines="50" w:after="120" w:line="400" w:lineRule="exact"/>
        <w:jc w:val="center"/>
        <w:rPr>
          <w:rFonts w:ascii="Times New Roman" w:eastAsia="標楷體" w:hAnsi="Times New Roman"/>
          <w:kern w:val="2"/>
          <w:sz w:val="28"/>
          <w:szCs w:val="28"/>
          <w:lang w:eastAsia="zh-TW"/>
        </w:rPr>
      </w:pPr>
      <w:r w:rsidRPr="00FE5C0B">
        <w:rPr>
          <w:rFonts w:ascii="Times New Roman" w:eastAsia="標楷體" w:hAnsi="Times New Roman" w:hint="eastAsia"/>
          <w:kern w:val="2"/>
          <w:sz w:val="28"/>
          <w:szCs w:val="28"/>
          <w:lang w:eastAsia="zh-TW"/>
        </w:rPr>
        <w:t>-</w:t>
      </w:r>
      <w:r w:rsidRPr="00FE5C0B">
        <w:rPr>
          <w:rFonts w:ascii="Times New Roman" w:eastAsia="標楷體" w:hAnsi="Times New Roman"/>
          <w:kern w:val="2"/>
          <w:sz w:val="28"/>
          <w:szCs w:val="28"/>
          <w:lang w:eastAsia="zh-TW"/>
        </w:rPr>
        <w:t xml:space="preserve"> </w:t>
      </w:r>
      <w:r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G</w:t>
      </w:r>
      <w:r w:rsidRPr="00FE5C0B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NE</w:t>
      </w:r>
      <w:r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遠端</w:t>
      </w:r>
      <w:proofErr w:type="gramStart"/>
      <w:r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肌</w:t>
      </w:r>
      <w:proofErr w:type="gramEnd"/>
      <w:r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病變</w:t>
      </w:r>
      <w:r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 xml:space="preserve"> </w:t>
      </w:r>
      <w:r w:rsidRPr="00FE5C0B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 xml:space="preserve">[GNE myopathy] </w:t>
      </w:r>
      <w:r w:rsidRPr="00FE5C0B">
        <w:rPr>
          <w:rFonts w:ascii="Times New Roman" w:eastAsia="標楷體" w:hAnsi="Times New Roman" w:hint="eastAsia"/>
          <w:kern w:val="2"/>
          <w:sz w:val="28"/>
          <w:szCs w:val="28"/>
          <w:lang w:eastAsia="zh-TW"/>
        </w:rPr>
        <w:t>-</w:t>
      </w: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9889"/>
      </w:tblGrid>
      <w:tr w:rsidR="004D2AEF" w:rsidRPr="00FE5C0B" w14:paraId="7F34E1F7" w14:textId="77777777" w:rsidTr="000D5E22">
        <w:trPr>
          <w:trHeight w:val="3163"/>
        </w:trPr>
        <w:tc>
          <w:tcPr>
            <w:tcW w:w="9889" w:type="dxa"/>
          </w:tcPr>
          <w:p w14:paraId="2E3D2658" w14:textId="77777777" w:rsidR="004D2AEF" w:rsidRPr="00FE5C0B" w:rsidRDefault="004D2AEF" w:rsidP="000D5E22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主要表徵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(Major)</w:t>
            </w:r>
          </w:p>
          <w:p w14:paraId="7AF4DC73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□青春期至青年期發生之下肢遠端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無力，以前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脛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肌侵犯造成之垂足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(Dropped foot)</w:t>
            </w:r>
          </w:p>
          <w:p w14:paraId="1EBA29DB" w14:textId="77777777" w:rsidR="004D2AEF" w:rsidRPr="00FE5C0B" w:rsidRDefault="004D2AEF" w:rsidP="000D5E22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       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為早期之表現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(Tibialis anterior muscle involvement)</w:t>
            </w:r>
          </w:p>
          <w:p w14:paraId="66E4769F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□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股四頭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相對未受或少受侵犯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(Quadriceps femoris: relative sparing)</w:t>
            </w:r>
          </w:p>
          <w:p w14:paraId="65A79736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□頸部無力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(Neck weakness)</w:t>
            </w:r>
          </w:p>
          <w:p w14:paraId="6960F092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□肌肉切片：著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邊空泡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(Rimmed vacuoles)</w:t>
            </w:r>
          </w:p>
          <w:p w14:paraId="46F9F7D7" w14:textId="77777777" w:rsidR="004D2AEF" w:rsidRPr="00FE5C0B" w:rsidRDefault="004D2AEF" w:rsidP="000D5E22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次要輔助表徵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(Minor)</w:t>
            </w:r>
          </w:p>
          <w:p w14:paraId="7EA5D509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□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血液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肌酸激酶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值上升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(Elevated serum creatine kinase level)</w:t>
            </w:r>
          </w:p>
          <w:p w14:paraId="3AEAA39F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□肌電圖：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肌原性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病變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(Myogenic change)</w:t>
            </w:r>
          </w:p>
          <w:p w14:paraId="5693CD39" w14:textId="77777777" w:rsidR="004D2AEF" w:rsidRPr="00FE5C0B" w:rsidRDefault="004D2AEF" w:rsidP="000D5E22">
            <w:pPr>
              <w:numPr>
                <w:ilvl w:val="0"/>
                <w:numId w:val="5"/>
              </w:numPr>
              <w:ind w:left="0" w:firstLine="24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FE5C0B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□</w:t>
            </w:r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肌肉影像：顯著前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脛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肌侵犯及股四頭</w:t>
            </w:r>
            <w:proofErr w:type="gramStart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</w:t>
            </w:r>
            <w:proofErr w:type="gramEnd"/>
            <w:r w:rsidRPr="00FE5C0B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相對未受或少受侵犯</w:t>
            </w:r>
          </w:p>
        </w:tc>
      </w:tr>
    </w:tbl>
    <w:p w14:paraId="2ACDADE7" w14:textId="6A627D56" w:rsidR="004D2AEF" w:rsidRPr="00FE5C0B" w:rsidRDefault="00397DEC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D246B" wp14:editId="090044F7">
                <wp:simplePos x="0" y="0"/>
                <wp:positionH relativeFrom="margin">
                  <wp:posOffset>3268345</wp:posOffset>
                </wp:positionH>
                <wp:positionV relativeFrom="paragraph">
                  <wp:posOffset>31750</wp:posOffset>
                </wp:positionV>
                <wp:extent cx="0" cy="756285"/>
                <wp:effectExtent l="93345" t="27305" r="87630" b="35560"/>
                <wp:wrapNone/>
                <wp:docPr id="702324955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A2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57.35pt;margin-top:2.5pt;width:0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" strokeweight="3pt">
                <v:stroke endarrow="block"/>
                <w10:wrap anchorx="margin"/>
              </v:shape>
            </w:pict>
          </mc:Fallback>
        </mc:AlternateContent>
      </w:r>
    </w:p>
    <w:p w14:paraId="2F95436C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0C484B2C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9993"/>
      </w:tblGrid>
      <w:tr w:rsidR="004D2AEF" w:rsidRPr="00FE5C0B" w14:paraId="17356F03" w14:textId="77777777" w:rsidTr="000D5E22">
        <w:trPr>
          <w:trHeight w:val="2211"/>
        </w:trPr>
        <w:tc>
          <w:tcPr>
            <w:tcW w:w="10219" w:type="dxa"/>
          </w:tcPr>
          <w:p w14:paraId="4C788EA8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四項主要表徵</w:t>
            </w:r>
          </w:p>
          <w:p w14:paraId="48059B4C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或</w:t>
            </w:r>
          </w:p>
          <w:p w14:paraId="1A238B67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三項主要表徵</w:t>
            </w: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 xml:space="preserve"> + </w:t>
            </w: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兩項次要輔助表徵</w:t>
            </w:r>
          </w:p>
          <w:p w14:paraId="60A7AB42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或</w:t>
            </w:r>
          </w:p>
          <w:p w14:paraId="1B61EFB3" w14:textId="11F69A0A" w:rsidR="004D2AEF" w:rsidRPr="00FE5C0B" w:rsidRDefault="00397DEC" w:rsidP="000D5E22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B16DA" wp14:editId="6A35186A">
                      <wp:simplePos x="0" y="0"/>
                      <wp:positionH relativeFrom="margin">
                        <wp:posOffset>3089910</wp:posOffset>
                      </wp:positionH>
                      <wp:positionV relativeFrom="paragraph">
                        <wp:posOffset>336550</wp:posOffset>
                      </wp:positionV>
                      <wp:extent cx="0" cy="791845"/>
                      <wp:effectExtent l="85725" t="20320" r="85725" b="35560"/>
                      <wp:wrapNone/>
                      <wp:docPr id="4297073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1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546D9" id="AutoShape 5" o:spid="_x0000_s1026" type="#_x0000_t32" style="position:absolute;margin-left:243.3pt;margin-top:26.5pt;width:0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" strokeweight="3pt">
                      <v:stroke endarrow="block"/>
                      <w10:wrap anchorx="margin"/>
                    </v:shape>
                  </w:pict>
                </mc:Fallback>
              </mc:AlternateContent>
            </w:r>
            <w:r w:rsidR="004D2AEF"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兩項主要表徵</w:t>
            </w:r>
            <w:r w:rsidR="004D2AEF"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 xml:space="preserve"> + </w:t>
            </w:r>
            <w:r w:rsidR="004D2AEF" w:rsidRPr="00FE5C0B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三項次要輔助表徵</w:t>
            </w:r>
          </w:p>
        </w:tc>
      </w:tr>
    </w:tbl>
    <w:p w14:paraId="77F0766A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5EFBC6C7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7C05AD4F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027"/>
      </w:tblGrid>
      <w:tr w:rsidR="004D2AEF" w:rsidRPr="00FE5C0B" w14:paraId="248F102A" w14:textId="77777777" w:rsidTr="000D5E22">
        <w:trPr>
          <w:trHeight w:val="1191"/>
        </w:trPr>
        <w:tc>
          <w:tcPr>
            <w:tcW w:w="10206" w:type="dxa"/>
            <w:vAlign w:val="center"/>
          </w:tcPr>
          <w:p w14:paraId="00D6BAEC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FE5C0B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GNE</w:t>
            </w: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基因檢測</w:t>
            </w:r>
            <w:r w:rsidRPr="00FE5C0B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:</w:t>
            </w:r>
          </w:p>
          <w:p w14:paraId="48CD8FBB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同型合子或複雜異型合子突變</w:t>
            </w:r>
          </w:p>
          <w:p w14:paraId="110FC1EB" w14:textId="77777777" w:rsidR="004D2AEF" w:rsidRPr="00FE5C0B" w:rsidRDefault="004D2AEF" w:rsidP="000D5E22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FE5C0B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(Homozygous or compound heterozygous mutations)</w:t>
            </w:r>
          </w:p>
        </w:tc>
      </w:tr>
    </w:tbl>
    <w:p w14:paraId="1F6BF327" w14:textId="757EB65B" w:rsidR="004D2AEF" w:rsidRPr="00FE5C0B" w:rsidRDefault="00397DEC" w:rsidP="004D2AEF">
      <w:pPr>
        <w:spacing w:beforeLines="25" w:before="60" w:afterLines="50" w:after="120" w:line="0" w:lineRule="atLeast"/>
        <w:ind w:left="284" w:firstLineChars="100" w:firstLine="2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9E4E" wp14:editId="4FD690D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720090"/>
                <wp:effectExtent l="92710" t="24130" r="88265" b="36830"/>
                <wp:wrapNone/>
                <wp:docPr id="1366183874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739D" id="直線單箭頭接點 21" o:spid="_x0000_s1026" type="#_x0000_t32" style="position:absolute;margin-left:0;margin-top:.55pt;width:0;height:56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" strokeweight="3pt">
                <v:stroke endarrow="block"/>
                <w10:wrap anchorx="margin"/>
              </v:shape>
            </w:pict>
          </mc:Fallback>
        </mc:AlternateContent>
      </w:r>
    </w:p>
    <w:p w14:paraId="0B5BD51F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5D0BB158" w14:textId="77777777" w:rsidR="004D2AEF" w:rsidRPr="00FE5C0B" w:rsidRDefault="004D2AEF" w:rsidP="004D2AEF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9993"/>
      </w:tblGrid>
      <w:tr w:rsidR="004D2AEF" w:rsidRPr="00FE5C0B" w14:paraId="125E9784" w14:textId="77777777" w:rsidTr="000D5E22">
        <w:trPr>
          <w:trHeight w:val="510"/>
        </w:trPr>
        <w:tc>
          <w:tcPr>
            <w:tcW w:w="10219" w:type="dxa"/>
          </w:tcPr>
          <w:p w14:paraId="249F67D2" w14:textId="77777777" w:rsidR="004D2AEF" w:rsidRPr="00FE5C0B" w:rsidRDefault="004D2AEF" w:rsidP="000D5E22">
            <w:pPr>
              <w:spacing w:beforeLines="25" w:before="60" w:afterLines="50" w:after="120"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確診</w:t>
            </w: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GNE</w:t>
            </w: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遠端</w:t>
            </w:r>
            <w:proofErr w:type="gramStart"/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肌</w:t>
            </w:r>
            <w:proofErr w:type="gramEnd"/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病變</w:t>
            </w:r>
            <w:r w:rsidRPr="00FE5C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FE5C0B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(GNE myopathy)</w:t>
            </w:r>
          </w:p>
        </w:tc>
      </w:tr>
    </w:tbl>
    <w:p w14:paraId="51E76D95" w14:textId="77777777" w:rsidR="004D2AEF" w:rsidRPr="00FE5C0B" w:rsidRDefault="004D2AEF" w:rsidP="004D2AEF">
      <w:pPr>
        <w:spacing w:beforeLines="25" w:before="60" w:afterLines="50" w:after="120" w:line="0" w:lineRule="atLeast"/>
        <w:rPr>
          <w:rFonts w:ascii="Times New Roman" w:eastAsia="標楷體" w:hAnsi="Times New Roman"/>
          <w:sz w:val="28"/>
          <w:szCs w:val="28"/>
          <w:lang w:eastAsia="zh-TW"/>
        </w:rPr>
      </w:pPr>
    </w:p>
    <w:p w14:paraId="7273F41C" w14:textId="3663C3AC" w:rsidR="00F474BC" w:rsidRPr="00940C7A" w:rsidRDefault="00F474BC" w:rsidP="00940C7A"/>
    <w:sectPr w:rsidR="00F474BC" w:rsidRPr="00940C7A">
      <w:type w:val="continuous"/>
      <w:pgSz w:w="11907" w:h="16840"/>
      <w:pgMar w:top="66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AD4A" w14:textId="77777777" w:rsidR="00235F97" w:rsidRDefault="00235F97" w:rsidP="00D855A5">
      <w:r>
        <w:separator/>
      </w:r>
    </w:p>
  </w:endnote>
  <w:endnote w:type="continuationSeparator" w:id="0">
    <w:p w14:paraId="6FF65F23" w14:textId="77777777" w:rsidR="00235F97" w:rsidRDefault="00235F97" w:rsidP="00D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E7C" w14:textId="77777777" w:rsidR="00235F97" w:rsidRDefault="00235F97" w:rsidP="00D855A5">
      <w:r>
        <w:separator/>
      </w:r>
    </w:p>
  </w:footnote>
  <w:footnote w:type="continuationSeparator" w:id="0">
    <w:p w14:paraId="6E84FDCB" w14:textId="77777777" w:rsidR="00235F97" w:rsidRDefault="00235F97" w:rsidP="00D8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579"/>
    <w:multiLevelType w:val="hybridMultilevel"/>
    <w:tmpl w:val="4BE021F0"/>
    <w:lvl w:ilvl="0" w:tplc="40986C4E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92CF61C">
      <w:start w:val="1"/>
      <w:numFmt w:val="bullet"/>
      <w:lvlText w:val="•"/>
      <w:lvlJc w:val="left"/>
      <w:rPr>
        <w:rFonts w:hint="default"/>
      </w:rPr>
    </w:lvl>
    <w:lvl w:ilvl="2" w:tplc="501EE366">
      <w:start w:val="1"/>
      <w:numFmt w:val="bullet"/>
      <w:lvlText w:val="•"/>
      <w:lvlJc w:val="left"/>
      <w:rPr>
        <w:rFonts w:hint="default"/>
      </w:rPr>
    </w:lvl>
    <w:lvl w:ilvl="3" w:tplc="66C4DB72">
      <w:start w:val="1"/>
      <w:numFmt w:val="bullet"/>
      <w:lvlText w:val="•"/>
      <w:lvlJc w:val="left"/>
      <w:rPr>
        <w:rFonts w:hint="default"/>
      </w:rPr>
    </w:lvl>
    <w:lvl w:ilvl="4" w:tplc="259E9B28">
      <w:start w:val="1"/>
      <w:numFmt w:val="bullet"/>
      <w:lvlText w:val="•"/>
      <w:lvlJc w:val="left"/>
      <w:rPr>
        <w:rFonts w:hint="default"/>
      </w:rPr>
    </w:lvl>
    <w:lvl w:ilvl="5" w:tplc="B5F4DA86">
      <w:start w:val="1"/>
      <w:numFmt w:val="bullet"/>
      <w:lvlText w:val="•"/>
      <w:lvlJc w:val="left"/>
      <w:rPr>
        <w:rFonts w:hint="default"/>
      </w:rPr>
    </w:lvl>
    <w:lvl w:ilvl="6" w:tplc="024097C4">
      <w:start w:val="1"/>
      <w:numFmt w:val="bullet"/>
      <w:lvlText w:val="•"/>
      <w:lvlJc w:val="left"/>
      <w:rPr>
        <w:rFonts w:hint="default"/>
      </w:rPr>
    </w:lvl>
    <w:lvl w:ilvl="7" w:tplc="CD7A5388">
      <w:start w:val="1"/>
      <w:numFmt w:val="bullet"/>
      <w:lvlText w:val="•"/>
      <w:lvlJc w:val="left"/>
      <w:rPr>
        <w:rFonts w:hint="default"/>
      </w:rPr>
    </w:lvl>
    <w:lvl w:ilvl="8" w:tplc="0A7EBD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C07A25"/>
    <w:multiLevelType w:val="hybridMultilevel"/>
    <w:tmpl w:val="2F5C2BCE"/>
    <w:lvl w:ilvl="0" w:tplc="3D6243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hAnsi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8510B6"/>
    <w:multiLevelType w:val="hybridMultilevel"/>
    <w:tmpl w:val="6D420B18"/>
    <w:lvl w:ilvl="0" w:tplc="DC80B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E424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E4410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F72E9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1A18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D250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6454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4A2C6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BA0D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C4B15"/>
    <w:multiLevelType w:val="hybridMultilevel"/>
    <w:tmpl w:val="73F887B4"/>
    <w:lvl w:ilvl="0" w:tplc="994A25E4">
      <w:start w:val="2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09490E8">
      <w:start w:val="1"/>
      <w:numFmt w:val="bullet"/>
      <w:lvlText w:val="•"/>
      <w:lvlJc w:val="left"/>
      <w:rPr>
        <w:rFonts w:hint="default"/>
      </w:rPr>
    </w:lvl>
    <w:lvl w:ilvl="2" w:tplc="A50673C2">
      <w:start w:val="1"/>
      <w:numFmt w:val="bullet"/>
      <w:lvlText w:val="•"/>
      <w:lvlJc w:val="left"/>
      <w:rPr>
        <w:rFonts w:hint="default"/>
      </w:rPr>
    </w:lvl>
    <w:lvl w:ilvl="3" w:tplc="3ED8444E">
      <w:start w:val="1"/>
      <w:numFmt w:val="bullet"/>
      <w:lvlText w:val="•"/>
      <w:lvlJc w:val="left"/>
      <w:rPr>
        <w:rFonts w:hint="default"/>
      </w:rPr>
    </w:lvl>
    <w:lvl w:ilvl="4" w:tplc="B94C30A6">
      <w:start w:val="1"/>
      <w:numFmt w:val="bullet"/>
      <w:lvlText w:val="•"/>
      <w:lvlJc w:val="left"/>
      <w:rPr>
        <w:rFonts w:hint="default"/>
      </w:rPr>
    </w:lvl>
    <w:lvl w:ilvl="5" w:tplc="AB16F45A">
      <w:start w:val="1"/>
      <w:numFmt w:val="bullet"/>
      <w:lvlText w:val="•"/>
      <w:lvlJc w:val="left"/>
      <w:rPr>
        <w:rFonts w:hint="default"/>
      </w:rPr>
    </w:lvl>
    <w:lvl w:ilvl="6" w:tplc="D8966C90">
      <w:start w:val="1"/>
      <w:numFmt w:val="bullet"/>
      <w:lvlText w:val="•"/>
      <w:lvlJc w:val="left"/>
      <w:rPr>
        <w:rFonts w:hint="default"/>
      </w:rPr>
    </w:lvl>
    <w:lvl w:ilvl="7" w:tplc="6FD0F48E">
      <w:start w:val="1"/>
      <w:numFmt w:val="bullet"/>
      <w:lvlText w:val="•"/>
      <w:lvlJc w:val="left"/>
      <w:rPr>
        <w:rFonts w:hint="default"/>
      </w:rPr>
    </w:lvl>
    <w:lvl w:ilvl="8" w:tplc="7026C0CC">
      <w:start w:val="1"/>
      <w:numFmt w:val="bullet"/>
      <w:lvlText w:val="•"/>
      <w:lvlJc w:val="left"/>
      <w:rPr>
        <w:rFonts w:hint="default"/>
      </w:rPr>
    </w:lvl>
  </w:abstractNum>
  <w:num w:numId="1" w16cid:durableId="1284507568">
    <w:abstractNumId w:val="0"/>
  </w:num>
  <w:num w:numId="2" w16cid:durableId="378240692">
    <w:abstractNumId w:val="4"/>
  </w:num>
  <w:num w:numId="3" w16cid:durableId="221139216">
    <w:abstractNumId w:val="2"/>
  </w:num>
  <w:num w:numId="4" w16cid:durableId="703870658">
    <w:abstractNumId w:val="1"/>
  </w:num>
  <w:num w:numId="5" w16cid:durableId="35870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6"/>
    <w:rsid w:val="000E0336"/>
    <w:rsid w:val="0018681F"/>
    <w:rsid w:val="00235F97"/>
    <w:rsid w:val="002C2366"/>
    <w:rsid w:val="002F4495"/>
    <w:rsid w:val="00306FE6"/>
    <w:rsid w:val="003641F9"/>
    <w:rsid w:val="00397DEC"/>
    <w:rsid w:val="003F038A"/>
    <w:rsid w:val="0042271E"/>
    <w:rsid w:val="00476324"/>
    <w:rsid w:val="0048517E"/>
    <w:rsid w:val="004D2AEF"/>
    <w:rsid w:val="004D4E41"/>
    <w:rsid w:val="00572513"/>
    <w:rsid w:val="005A79BE"/>
    <w:rsid w:val="00605E1B"/>
    <w:rsid w:val="00624633"/>
    <w:rsid w:val="006965AF"/>
    <w:rsid w:val="007561A2"/>
    <w:rsid w:val="00757BFE"/>
    <w:rsid w:val="00781A22"/>
    <w:rsid w:val="007836F2"/>
    <w:rsid w:val="007E0136"/>
    <w:rsid w:val="007E0DE7"/>
    <w:rsid w:val="008513DB"/>
    <w:rsid w:val="00890083"/>
    <w:rsid w:val="008D6CBD"/>
    <w:rsid w:val="00940C7A"/>
    <w:rsid w:val="009B3431"/>
    <w:rsid w:val="009C7AA0"/>
    <w:rsid w:val="009F2CFF"/>
    <w:rsid w:val="00A126BD"/>
    <w:rsid w:val="00A242B5"/>
    <w:rsid w:val="00A74530"/>
    <w:rsid w:val="00B62B26"/>
    <w:rsid w:val="00C27B9C"/>
    <w:rsid w:val="00C90F30"/>
    <w:rsid w:val="00D169BE"/>
    <w:rsid w:val="00D855A5"/>
    <w:rsid w:val="00D948F7"/>
    <w:rsid w:val="00E5440F"/>
    <w:rsid w:val="00E71986"/>
    <w:rsid w:val="00EC4231"/>
    <w:rsid w:val="00EC6E2D"/>
    <w:rsid w:val="00EE4F24"/>
    <w:rsid w:val="00EF78E0"/>
    <w:rsid w:val="00F474BC"/>
    <w:rsid w:val="00FD183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1" type="connector" idref="#直線單箭頭接點 21"/>
        <o:r id="V:Rule2" type="connector" idref="#直線單箭頭接點 10"/>
        <o:r id="V:Rule3" type="connector" idref="#_x0000_s1029"/>
      </o:rules>
    </o:shapelayout>
  </w:shapeDefaults>
  <w:decimalSymbol w:val="."/>
  <w:listSeparator w:val=","/>
  <w14:docId w14:val="1DBE2435"/>
  <w15:docId w15:val="{BFA13B5D-3255-42F7-B766-DFB6AFC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85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855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E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05E1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39"/>
    <w:rsid w:val="004D2AEF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送審資料表及審查基準表_12_GNE遠端肌病變</dc:title>
  <dc:subject/>
  <dc:creator>衛生福利部國民健康署</dc:creator>
  <cp:keywords/>
  <cp:lastModifiedBy>許雅雯(Linda Shiu)</cp:lastModifiedBy>
  <cp:revision>2</cp:revision>
  <cp:lastPrinted>2024-01-04T05:48:00Z</cp:lastPrinted>
  <dcterms:created xsi:type="dcterms:W3CDTF">2024-01-04T05:49:00Z</dcterms:created>
  <dcterms:modified xsi:type="dcterms:W3CDTF">2024-01-04T05:49:00Z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LastSaved">
    <vt:filetime>2017-05-15T00:00:00Z</vt:filetime>
  </property>
  <property fmtid="{D5CDD505-2E9C-101B-9397-08002B2CF9AE}" pid="4" name="MSIP_Label_755196ac-7daa-415d-ac3a-bda7dffaa0f9_Enabled">
    <vt:lpwstr>true</vt:lpwstr>
  </property>
  <property fmtid="{D5CDD505-2E9C-101B-9397-08002B2CF9AE}" pid="5" name="MSIP_Label_755196ac-7daa-415d-ac3a-bda7dffaa0f9_SetDate">
    <vt:lpwstr>2024-01-04T03:51:55Z</vt:lpwstr>
  </property>
  <property fmtid="{D5CDD505-2E9C-101B-9397-08002B2CF9AE}" pid="6" name="MSIP_Label_755196ac-7daa-415d-ac3a-bda7dffaa0f9_Method">
    <vt:lpwstr>Standard</vt:lpwstr>
  </property>
  <property fmtid="{D5CDD505-2E9C-101B-9397-08002B2CF9AE}" pid="7" name="MSIP_Label_755196ac-7daa-415d-ac3a-bda7dffaa0f9_Name">
    <vt:lpwstr>普通</vt:lpwstr>
  </property>
  <property fmtid="{D5CDD505-2E9C-101B-9397-08002B2CF9AE}" pid="8" name="MSIP_Label_755196ac-7daa-415d-ac3a-bda7dffaa0f9_SiteId">
    <vt:lpwstr>54aa2fea-ecb3-4c71-80b3-de9a356e77c1</vt:lpwstr>
  </property>
  <property fmtid="{D5CDD505-2E9C-101B-9397-08002B2CF9AE}" pid="9" name="MSIP_Label_755196ac-7daa-415d-ac3a-bda7dffaa0f9_ActionId">
    <vt:lpwstr>1d25e347-159b-4412-8b30-fe6ac76b732e</vt:lpwstr>
  </property>
  <property fmtid="{D5CDD505-2E9C-101B-9397-08002B2CF9AE}" pid="10" name="MSIP_Label_755196ac-7daa-415d-ac3a-bda7dffaa0f9_ContentBits">
    <vt:lpwstr>0</vt:lpwstr>
  </property>
</Properties>
</file>