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0A38" w14:textId="77777777" w:rsidR="00005E53" w:rsidRPr="003A0B09" w:rsidRDefault="00005E53" w:rsidP="00005E53">
      <w:pPr>
        <w:snapToGrid w:val="0"/>
        <w:spacing w:line="400" w:lineRule="atLeas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衛生福利部國民健康署「罕見疾病個案通報審查基準機制」</w:t>
      </w: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(</w:t>
      </w:r>
      <w:r w:rsidRPr="003A0B09">
        <w:rPr>
          <w:rFonts w:eastAsia="標楷體" w:hint="eastAsia"/>
          <w:b/>
          <w:bCs/>
          <w:noProof/>
          <w:color w:val="000000"/>
          <w:sz w:val="28"/>
          <w:szCs w:val="28"/>
        </w:rPr>
        <w:t>送審資料</w:t>
      </w: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表</w:t>
      </w: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)</w:t>
      </w:r>
    </w:p>
    <w:p w14:paraId="736FC309" w14:textId="77777777" w:rsidR="00005E53" w:rsidRDefault="00005E53" w:rsidP="00005E53">
      <w:pPr>
        <w:snapToGrid w:val="0"/>
        <w:spacing w:line="400" w:lineRule="atLeast"/>
        <w:ind w:left="360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 xml:space="preserve">- </w:t>
      </w:r>
      <w:r w:rsidRPr="003A0B09">
        <w:rPr>
          <w:rFonts w:eastAsia="標楷體" w:hint="eastAsia"/>
          <w:b/>
          <w:bCs/>
          <w:color w:val="000000"/>
          <w:sz w:val="28"/>
          <w:szCs w:val="28"/>
        </w:rPr>
        <w:t>先天性血栓性血小板</w:t>
      </w:r>
      <w:proofErr w:type="gramStart"/>
      <w:r w:rsidRPr="003A0B09">
        <w:rPr>
          <w:rFonts w:eastAsia="標楷體" w:hint="eastAsia"/>
          <w:b/>
          <w:bCs/>
          <w:color w:val="000000"/>
          <w:sz w:val="28"/>
          <w:szCs w:val="28"/>
        </w:rPr>
        <w:t>低下紫</w:t>
      </w:r>
      <w:proofErr w:type="gramEnd"/>
      <w:r w:rsidRPr="003A0B09">
        <w:rPr>
          <w:rFonts w:eastAsia="標楷體" w:hint="eastAsia"/>
          <w:b/>
          <w:bCs/>
          <w:color w:val="000000"/>
          <w:sz w:val="28"/>
          <w:szCs w:val="28"/>
        </w:rPr>
        <w:t>斑症</w:t>
      </w:r>
    </w:p>
    <w:p w14:paraId="219A1A8F" w14:textId="77777777" w:rsidR="00005E53" w:rsidRPr="003A0B09" w:rsidRDefault="00005E53" w:rsidP="00005E53">
      <w:pPr>
        <w:snapToGrid w:val="0"/>
        <w:spacing w:afterLines="50" w:after="193" w:line="400" w:lineRule="atLeast"/>
        <w:ind w:left="357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3A0B09">
        <w:rPr>
          <w:rFonts w:eastAsia="標楷體" w:hint="eastAsia"/>
          <w:b/>
          <w:bCs/>
          <w:color w:val="000000"/>
          <w:sz w:val="28"/>
          <w:szCs w:val="28"/>
        </w:rPr>
        <w:t>[Congenital thrombotic thrombocytopenic purpura</w:t>
      </w:r>
      <w:r w:rsidRPr="003A0B09">
        <w:rPr>
          <w:rFonts w:eastAsia="標楷體" w:hint="eastAsia"/>
          <w:color w:val="000000"/>
          <w:sz w:val="28"/>
          <w:szCs w:val="28"/>
        </w:rPr>
        <w:t>]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Pr="003A0B09">
        <w:rPr>
          <w:rFonts w:eastAsia="標楷體" w:hint="eastAsia"/>
          <w:b/>
          <w:bCs/>
          <w:color w:val="000000"/>
          <w:sz w:val="28"/>
          <w:szCs w:val="28"/>
        </w:rPr>
        <w:t>-</w:t>
      </w:r>
    </w:p>
    <w:p w14:paraId="2FF99992" w14:textId="77777777" w:rsidR="00005E53" w:rsidRPr="003A0B09" w:rsidRDefault="00005E53" w:rsidP="00005E53">
      <w:pPr>
        <w:rPr>
          <w:rFonts w:eastAsia="標楷體"/>
          <w:bCs/>
          <w:color w:val="000000"/>
        </w:rPr>
      </w:pPr>
      <w:r w:rsidRPr="003A0B09">
        <w:rPr>
          <w:rFonts w:eastAsia="標楷體" w:hint="eastAsia"/>
          <w:color w:val="000000"/>
        </w:rPr>
        <w:t>□</w:t>
      </w:r>
      <w:r w:rsidRPr="003A0B09">
        <w:rPr>
          <w:rFonts w:eastAsia="標楷體"/>
          <w:bCs/>
          <w:color w:val="000000"/>
        </w:rPr>
        <w:t>相關臨床症狀及徵兆的病歷紀錄</w:t>
      </w:r>
      <w:r w:rsidRPr="003A0B09">
        <w:rPr>
          <w:rFonts w:eastAsia="標楷體"/>
          <w:bCs/>
          <w:color w:val="000000"/>
        </w:rPr>
        <w:t>(</w:t>
      </w:r>
      <w:r w:rsidRPr="003A0B09">
        <w:rPr>
          <w:rFonts w:eastAsia="標楷體"/>
          <w:bCs/>
          <w:color w:val="000000"/>
        </w:rPr>
        <w:t>必要</w:t>
      </w:r>
      <w:r w:rsidRPr="003A0B09">
        <w:rPr>
          <w:rFonts w:eastAsia="標楷體"/>
          <w:bCs/>
          <w:color w:val="000000"/>
        </w:rPr>
        <w:t>)</w:t>
      </w:r>
    </w:p>
    <w:p w14:paraId="158543AB" w14:textId="77777777" w:rsidR="00005E53" w:rsidRPr="003A0B09" w:rsidRDefault="00005E53" w:rsidP="00005E53">
      <w:pPr>
        <w:rPr>
          <w:rFonts w:eastAsia="標楷體"/>
          <w:bCs/>
          <w:color w:val="000000"/>
        </w:rPr>
      </w:pPr>
      <w:r w:rsidRPr="003A0B09">
        <w:rPr>
          <w:rFonts w:eastAsia="標楷體" w:hint="eastAsia"/>
          <w:color w:val="000000"/>
        </w:rPr>
        <w:t>□</w:t>
      </w:r>
      <w:r w:rsidRPr="003A0B09">
        <w:rPr>
          <w:rFonts w:eastAsia="標楷體" w:hint="eastAsia"/>
          <w:bCs/>
          <w:color w:val="000000"/>
        </w:rPr>
        <w:t>實驗室檢驗數據：血小板、血色素及各項溶血相關數值</w:t>
      </w:r>
      <w:r w:rsidRPr="003A0B09">
        <w:rPr>
          <w:rFonts w:eastAsia="標楷體" w:hint="eastAsia"/>
          <w:bCs/>
          <w:color w:val="000000"/>
        </w:rPr>
        <w:t>(</w:t>
      </w:r>
      <w:r w:rsidRPr="003A0B09">
        <w:rPr>
          <w:rFonts w:eastAsia="標楷體" w:hint="eastAsia"/>
          <w:bCs/>
          <w:color w:val="000000"/>
        </w:rPr>
        <w:t>必要</w:t>
      </w:r>
      <w:r w:rsidRPr="003A0B09">
        <w:rPr>
          <w:rFonts w:eastAsia="標楷體" w:hint="eastAsia"/>
          <w:bCs/>
          <w:color w:val="000000"/>
        </w:rPr>
        <w:t>)</w:t>
      </w:r>
    </w:p>
    <w:p w14:paraId="3481B17E" w14:textId="77777777" w:rsidR="00005E53" w:rsidRPr="003A0B09" w:rsidRDefault="00005E53" w:rsidP="00005E53">
      <w:pPr>
        <w:rPr>
          <w:rFonts w:eastAsia="標楷體"/>
          <w:bCs/>
          <w:color w:val="000000"/>
        </w:rPr>
      </w:pPr>
      <w:r w:rsidRPr="003A0B09">
        <w:rPr>
          <w:rFonts w:eastAsia="標楷體" w:hint="eastAsia"/>
          <w:color w:val="000000"/>
        </w:rPr>
        <w:t>□</w:t>
      </w:r>
      <w:r w:rsidRPr="003A0B09">
        <w:rPr>
          <w:rFonts w:eastAsia="標楷體"/>
          <w:bCs/>
          <w:color w:val="000000"/>
        </w:rPr>
        <w:t>血中</w:t>
      </w:r>
      <w:r w:rsidRPr="003A0B09">
        <w:rPr>
          <w:rFonts w:eastAsia="標楷體"/>
          <w:bCs/>
          <w:color w:val="000000"/>
        </w:rPr>
        <w:t>ADAMTS13</w:t>
      </w:r>
      <w:r w:rsidRPr="003A0B09">
        <w:rPr>
          <w:rFonts w:eastAsia="標楷體"/>
          <w:bCs/>
          <w:color w:val="000000"/>
        </w:rPr>
        <w:t>蛋白活性檢測數值</w:t>
      </w:r>
      <w:r w:rsidRPr="003A0B09">
        <w:rPr>
          <w:rFonts w:eastAsia="標楷體"/>
          <w:bCs/>
          <w:color w:val="000000"/>
        </w:rPr>
        <w:t>(</w:t>
      </w:r>
      <w:r w:rsidRPr="003A0B09">
        <w:rPr>
          <w:rFonts w:eastAsia="標楷體"/>
          <w:bCs/>
          <w:color w:val="000000"/>
        </w:rPr>
        <w:t>必要</w:t>
      </w:r>
      <w:r w:rsidRPr="003A0B09">
        <w:rPr>
          <w:rFonts w:eastAsia="標楷體"/>
          <w:bCs/>
          <w:color w:val="000000"/>
        </w:rPr>
        <w:t>)</w:t>
      </w:r>
    </w:p>
    <w:p w14:paraId="6E82F55A" w14:textId="77777777" w:rsidR="00005E53" w:rsidRPr="003A0B09" w:rsidRDefault="00005E53" w:rsidP="00005E53">
      <w:pPr>
        <w:rPr>
          <w:rFonts w:eastAsia="標楷體"/>
          <w:bCs/>
          <w:color w:val="000000"/>
        </w:rPr>
      </w:pPr>
      <w:r w:rsidRPr="003A0B09">
        <w:rPr>
          <w:rFonts w:eastAsia="標楷體" w:hint="eastAsia"/>
          <w:color w:val="000000"/>
        </w:rPr>
        <w:t>□</w:t>
      </w:r>
      <w:r w:rsidRPr="003A0B09">
        <w:rPr>
          <w:rFonts w:eastAsia="標楷體"/>
          <w:bCs/>
          <w:color w:val="000000"/>
        </w:rPr>
        <w:t>血中</w:t>
      </w:r>
      <w:r w:rsidRPr="003A0B09">
        <w:rPr>
          <w:rFonts w:eastAsia="標楷體"/>
          <w:bCs/>
          <w:color w:val="000000"/>
        </w:rPr>
        <w:t>anti-ADAMTS13 antibody</w:t>
      </w:r>
      <w:r w:rsidRPr="003A0B09">
        <w:rPr>
          <w:rFonts w:eastAsia="標楷體"/>
          <w:bCs/>
          <w:color w:val="000000"/>
        </w:rPr>
        <w:t>狀態</w:t>
      </w:r>
      <w:r w:rsidRPr="003A0B09">
        <w:rPr>
          <w:rFonts w:eastAsia="標楷體"/>
          <w:bCs/>
          <w:color w:val="000000"/>
        </w:rPr>
        <w:t>(</w:t>
      </w:r>
      <w:r w:rsidRPr="003A0B09">
        <w:rPr>
          <w:rFonts w:eastAsia="標楷體"/>
          <w:bCs/>
          <w:color w:val="000000"/>
        </w:rPr>
        <w:t>必要</w:t>
      </w:r>
      <w:r w:rsidRPr="003A0B09">
        <w:rPr>
          <w:rFonts w:eastAsia="標楷體"/>
          <w:bCs/>
          <w:color w:val="000000"/>
        </w:rPr>
        <w:t>)</w:t>
      </w:r>
    </w:p>
    <w:p w14:paraId="310B81F2" w14:textId="77777777" w:rsidR="00005E53" w:rsidRPr="003A0B09" w:rsidRDefault="00005E53" w:rsidP="00005E53">
      <w:pPr>
        <w:spacing w:afterLines="50" w:after="193"/>
        <w:rPr>
          <w:rFonts w:eastAsia="標楷體"/>
          <w:noProof/>
          <w:color w:val="000000"/>
        </w:rPr>
      </w:pPr>
      <w:r w:rsidRPr="003A0B09">
        <w:rPr>
          <w:rFonts w:eastAsia="標楷體" w:hint="eastAsia"/>
          <w:color w:val="000000"/>
        </w:rPr>
        <w:t>□</w:t>
      </w:r>
      <w:r w:rsidRPr="003A0B09">
        <w:rPr>
          <w:rFonts w:eastAsia="標楷體"/>
          <w:bCs/>
          <w:color w:val="000000"/>
        </w:rPr>
        <w:t>ADAMTS13</w:t>
      </w:r>
      <w:r w:rsidRPr="003A0B09">
        <w:rPr>
          <w:rFonts w:eastAsia="標楷體"/>
          <w:bCs/>
          <w:color w:val="000000"/>
        </w:rPr>
        <w:t>基因檢測報告</w:t>
      </w:r>
      <w:r w:rsidRPr="003A0B09">
        <w:rPr>
          <w:rFonts w:eastAsia="標楷體"/>
          <w:bCs/>
          <w:color w:val="000000"/>
        </w:rPr>
        <w:t>(</w:t>
      </w:r>
      <w:r w:rsidRPr="003A0B09">
        <w:rPr>
          <w:rFonts w:eastAsia="標楷體"/>
          <w:bCs/>
          <w:color w:val="000000"/>
        </w:rPr>
        <w:t>必要</w:t>
      </w:r>
      <w:r w:rsidRPr="003A0B09">
        <w:rPr>
          <w:rFonts w:eastAsia="標楷體"/>
          <w:bCs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5E53" w:rsidRPr="00C15307" w14:paraId="03446A6E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2184EB52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b/>
                <w:color w:val="000000"/>
                <w:szCs w:val="22"/>
              </w:rPr>
            </w:pPr>
            <w:r w:rsidRPr="003A0B09">
              <w:rPr>
                <w:rFonts w:eastAsia="標楷體"/>
                <w:b/>
                <w:color w:val="000000"/>
              </w:rPr>
              <w:t xml:space="preserve">1a. </w:t>
            </w:r>
            <w:r w:rsidRPr="003A0B09">
              <w:rPr>
                <w:rFonts w:eastAsia="標楷體"/>
                <w:b/>
                <w:color w:val="000000"/>
              </w:rPr>
              <w:t>相關臨床症狀及徵兆的病歷紀錄</w:t>
            </w:r>
          </w:p>
        </w:tc>
      </w:tr>
      <w:tr w:rsidR="00005E53" w:rsidRPr="00C15307" w14:paraId="73575F99" w14:textId="77777777" w:rsidTr="00C505A4">
        <w:trPr>
          <w:trHeight w:val="505"/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72B3B5EE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  <w:r w:rsidRPr="003A0B09">
              <w:rPr>
                <w:rFonts w:eastAsia="標楷體"/>
                <w:color w:val="000000"/>
                <w:szCs w:val="22"/>
              </w:rPr>
              <w:t>請提供病患在臨床上與</w:t>
            </w:r>
            <w:r w:rsidRPr="003A0B09">
              <w:rPr>
                <w:rFonts w:eastAsia="標楷體"/>
                <w:color w:val="000000"/>
                <w:szCs w:val="22"/>
              </w:rPr>
              <w:t>TTP</w:t>
            </w:r>
            <w:r w:rsidRPr="003A0B09">
              <w:rPr>
                <w:rFonts w:eastAsia="標楷體"/>
                <w:color w:val="000000"/>
                <w:szCs w:val="22"/>
              </w:rPr>
              <w:t>相關之症狀及徵兆的病歷紀錄</w:t>
            </w:r>
          </w:p>
        </w:tc>
      </w:tr>
      <w:tr w:rsidR="00005E53" w:rsidRPr="00C15307" w14:paraId="3EF75732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79FB7653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b/>
                <w:bCs/>
                <w:color w:val="000000"/>
                <w:szCs w:val="22"/>
              </w:rPr>
            </w:pP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 xml:space="preserve">1b. 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排除其他疾病</w:t>
            </w:r>
          </w:p>
        </w:tc>
      </w:tr>
      <w:tr w:rsidR="00005E53" w:rsidRPr="00C15307" w14:paraId="00D54418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8527"/>
            </w:tblGrid>
            <w:tr w:rsidR="00005E53" w:rsidRPr="00C15307" w14:paraId="12AD3D33" w14:textId="77777777" w:rsidTr="00C505A4">
              <w:tc>
                <w:tcPr>
                  <w:tcW w:w="540" w:type="dxa"/>
                  <w:shd w:val="clear" w:color="auto" w:fill="auto"/>
                  <w:vAlign w:val="center"/>
                </w:tcPr>
                <w:p w14:paraId="31D8FB8C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  <w:vAlign w:val="center"/>
                </w:tcPr>
                <w:p w14:paraId="6C36F04A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/>
                      <w:color w:val="000000"/>
                      <w:szCs w:val="22"/>
                    </w:rPr>
                    <w:t>臨床上已排除瀰漫性</w:t>
                  </w:r>
                  <w:proofErr w:type="gramStart"/>
                  <w:r w:rsidRPr="003A0B09">
                    <w:rPr>
                      <w:rFonts w:eastAsia="標楷體"/>
                      <w:color w:val="000000"/>
                      <w:szCs w:val="22"/>
                    </w:rPr>
                    <w:t>血管內凝血</w:t>
                  </w:r>
                  <w:proofErr w:type="gramEnd"/>
                  <w:r w:rsidRPr="003A0B09">
                    <w:rPr>
                      <w:rFonts w:eastAsia="標楷體"/>
                      <w:color w:val="000000"/>
                      <w:szCs w:val="22"/>
                    </w:rPr>
                    <w:t>(Disseminated intravascular coagulation)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>之診斷</w:t>
                  </w:r>
                </w:p>
              </w:tc>
            </w:tr>
            <w:tr w:rsidR="00005E53" w:rsidRPr="00C15307" w14:paraId="6D27DE27" w14:textId="77777777" w:rsidTr="00C505A4">
              <w:tc>
                <w:tcPr>
                  <w:tcW w:w="540" w:type="dxa"/>
                  <w:shd w:val="clear" w:color="auto" w:fill="auto"/>
                  <w:vAlign w:val="center"/>
                </w:tcPr>
                <w:p w14:paraId="1B1179D0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  <w:vAlign w:val="center"/>
                </w:tcPr>
                <w:p w14:paraId="087AE174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/>
                      <w:color w:val="000000"/>
                      <w:szCs w:val="22"/>
                    </w:rPr>
                    <w:t>臨床上已排除其他疾病造成之栓塞性微血管病變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>(Thrombotic microangiopathy)</w:t>
                  </w:r>
                </w:p>
              </w:tc>
            </w:tr>
          </w:tbl>
          <w:p w14:paraId="2D827528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</w:p>
        </w:tc>
      </w:tr>
      <w:tr w:rsidR="00005E53" w:rsidRPr="00C15307" w14:paraId="33166285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10A207EA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b/>
                <w:bCs/>
                <w:color w:val="000000"/>
                <w:szCs w:val="22"/>
              </w:rPr>
            </w:pP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 xml:space="preserve">2. </w:t>
            </w:r>
            <w:r w:rsidRPr="003A0B09">
              <w:rPr>
                <w:rFonts w:eastAsia="標楷體" w:hint="eastAsia"/>
                <w:b/>
                <w:bCs/>
                <w:color w:val="000000"/>
                <w:szCs w:val="22"/>
              </w:rPr>
              <w:t>實驗室檢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測數值</w:t>
            </w:r>
          </w:p>
        </w:tc>
      </w:tr>
      <w:tr w:rsidR="00005E53" w:rsidRPr="00C15307" w14:paraId="57709B4D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8527"/>
            </w:tblGrid>
            <w:tr w:rsidR="00005E53" w:rsidRPr="00C15307" w14:paraId="7BD9BADA" w14:textId="77777777" w:rsidTr="00C505A4">
              <w:tc>
                <w:tcPr>
                  <w:tcW w:w="540" w:type="dxa"/>
                  <w:shd w:val="clear" w:color="auto" w:fill="auto"/>
                </w:tcPr>
                <w:p w14:paraId="7CCE445E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</w:tcPr>
                <w:p w14:paraId="1021CD9D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血小板與血紅素應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>低於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正常值下限</w:t>
                  </w:r>
                </w:p>
              </w:tc>
            </w:tr>
            <w:tr w:rsidR="00005E53" w:rsidRPr="00C15307" w14:paraId="31DBC91B" w14:textId="77777777" w:rsidTr="00C505A4">
              <w:tc>
                <w:tcPr>
                  <w:tcW w:w="540" w:type="dxa"/>
                  <w:shd w:val="clear" w:color="auto" w:fill="auto"/>
                </w:tcPr>
                <w:p w14:paraId="6AE22D96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</w:tcPr>
                <w:p w14:paraId="01FBBF05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血液抹片呈現破碎紅血球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>Schistocytes</w:t>
                  </w:r>
                </w:p>
              </w:tc>
            </w:tr>
            <w:tr w:rsidR="00005E53" w:rsidRPr="00C15307" w14:paraId="71AF57AC" w14:textId="77777777" w:rsidTr="00C505A4">
              <w:tc>
                <w:tcPr>
                  <w:tcW w:w="540" w:type="dxa"/>
                  <w:shd w:val="clear" w:color="auto" w:fill="auto"/>
                </w:tcPr>
                <w:p w14:paraId="57BEE3AE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</w:tcPr>
                <w:p w14:paraId="51317702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血中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LDH 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嚴重上升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 xml:space="preserve"> 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/ Haptoglobin 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下降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/ Indirect bilirubinemia / Hemoglobinuria 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等血管內溶血之證據</w:t>
                  </w:r>
                </w:p>
              </w:tc>
            </w:tr>
          </w:tbl>
          <w:p w14:paraId="6EC35A6B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</w:p>
        </w:tc>
      </w:tr>
      <w:tr w:rsidR="00005E53" w:rsidRPr="00C15307" w14:paraId="0504F406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1602D07C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  <w:r w:rsidRPr="003A0B09">
              <w:rPr>
                <w:rFonts w:eastAsia="標楷體"/>
                <w:b/>
                <w:color w:val="000000"/>
                <w:szCs w:val="22"/>
              </w:rPr>
              <w:t xml:space="preserve">3. </w:t>
            </w:r>
            <w:r w:rsidRPr="003A0B09">
              <w:rPr>
                <w:rFonts w:eastAsia="標楷體"/>
                <w:b/>
                <w:color w:val="000000"/>
                <w:szCs w:val="22"/>
              </w:rPr>
              <w:t>血中</w:t>
            </w:r>
            <w:r w:rsidRPr="003A0B09">
              <w:rPr>
                <w:rFonts w:eastAsia="標楷體"/>
                <w:b/>
                <w:color w:val="000000"/>
                <w:szCs w:val="22"/>
              </w:rPr>
              <w:t>ADAMTS13</w:t>
            </w:r>
            <w:r w:rsidRPr="003A0B09">
              <w:rPr>
                <w:rFonts w:eastAsia="標楷體"/>
                <w:b/>
                <w:color w:val="000000"/>
                <w:szCs w:val="22"/>
              </w:rPr>
              <w:t>蛋白活性檢測數值</w:t>
            </w:r>
            <w:r w:rsidRPr="003A0B09">
              <w:rPr>
                <w:rFonts w:eastAsia="標楷體"/>
                <w:b/>
                <w:color w:val="000000"/>
                <w:szCs w:val="22"/>
              </w:rPr>
              <w:t>(</w:t>
            </w:r>
            <w:r w:rsidRPr="003A0B09">
              <w:rPr>
                <w:rFonts w:eastAsia="標楷體"/>
                <w:b/>
                <w:color w:val="000000"/>
                <w:szCs w:val="22"/>
              </w:rPr>
              <w:t>必要</w:t>
            </w:r>
            <w:r w:rsidRPr="003A0B09">
              <w:rPr>
                <w:rFonts w:eastAsia="標楷體"/>
                <w:b/>
                <w:color w:val="000000"/>
                <w:szCs w:val="22"/>
              </w:rPr>
              <w:t>)</w:t>
            </w:r>
          </w:p>
        </w:tc>
      </w:tr>
      <w:tr w:rsidR="00005E53" w:rsidRPr="00C15307" w14:paraId="0D88BBBA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8527"/>
            </w:tblGrid>
            <w:tr w:rsidR="00005E53" w:rsidRPr="00C15307" w14:paraId="314720A2" w14:textId="77777777" w:rsidTr="00C505A4">
              <w:tc>
                <w:tcPr>
                  <w:tcW w:w="540" w:type="dxa"/>
                  <w:shd w:val="clear" w:color="auto" w:fill="auto"/>
                </w:tcPr>
                <w:p w14:paraId="2A124EE4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</w:tcPr>
                <w:p w14:paraId="1B6949F6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/>
                      <w:color w:val="000000"/>
                      <w:szCs w:val="22"/>
                    </w:rPr>
                    <w:t>ADAMTS13 activity &lt; 10%</w:t>
                  </w:r>
                </w:p>
              </w:tc>
            </w:tr>
          </w:tbl>
          <w:p w14:paraId="10BBBE85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</w:p>
        </w:tc>
      </w:tr>
      <w:tr w:rsidR="00005E53" w:rsidRPr="00C15307" w14:paraId="16A0312E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51968604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 xml:space="preserve">4. 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血中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anti-ADAMTS13 antibody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狀態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(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必要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)</w:t>
            </w:r>
          </w:p>
        </w:tc>
      </w:tr>
      <w:tr w:rsidR="00005E53" w:rsidRPr="00C15307" w14:paraId="08B7439B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8527"/>
            </w:tblGrid>
            <w:tr w:rsidR="00005E53" w:rsidRPr="00C15307" w14:paraId="1153E50E" w14:textId="77777777" w:rsidTr="00C505A4">
              <w:tc>
                <w:tcPr>
                  <w:tcW w:w="540" w:type="dxa"/>
                  <w:shd w:val="clear" w:color="auto" w:fill="auto"/>
                </w:tcPr>
                <w:p w14:paraId="1A8B7081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527" w:type="dxa"/>
                  <w:shd w:val="clear" w:color="auto" w:fill="auto"/>
                </w:tcPr>
                <w:p w14:paraId="7267C094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Anti-ADAMTS13 antibody negative 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sym w:font="Wingdings" w:char="F0E0"/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 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符合先天性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>TTP</w:t>
                  </w:r>
                </w:p>
              </w:tc>
            </w:tr>
          </w:tbl>
          <w:p w14:paraId="5A870427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</w:p>
        </w:tc>
      </w:tr>
      <w:tr w:rsidR="00005E53" w:rsidRPr="00C15307" w14:paraId="70D44141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p w14:paraId="79A95950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color w:val="000000"/>
                <w:szCs w:val="22"/>
              </w:rPr>
            </w:pP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5. ADAMTS13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基因檢測報告</w:t>
            </w:r>
            <w:r w:rsidRPr="003A0B09">
              <w:rPr>
                <w:rFonts w:eastAsia="標楷體"/>
                <w:b/>
                <w:bCs/>
                <w:color w:val="000000"/>
                <w:szCs w:val="22"/>
              </w:rPr>
              <w:t>(</w:t>
            </w:r>
            <w:r w:rsidRPr="003A0B09">
              <w:rPr>
                <w:rFonts w:eastAsia="標楷體" w:hint="eastAsia"/>
                <w:b/>
                <w:bCs/>
                <w:color w:val="000000"/>
                <w:szCs w:val="22"/>
              </w:rPr>
              <w:t>必要</w:t>
            </w:r>
            <w:r w:rsidRPr="003A0B09">
              <w:rPr>
                <w:rFonts w:eastAsia="標楷體" w:hint="eastAsia"/>
                <w:b/>
                <w:bCs/>
                <w:color w:val="000000"/>
                <w:szCs w:val="22"/>
              </w:rPr>
              <w:t>)</w:t>
            </w:r>
          </w:p>
        </w:tc>
      </w:tr>
      <w:tr w:rsidR="00005E53" w:rsidRPr="00C15307" w14:paraId="4613A5BD" w14:textId="77777777" w:rsidTr="00C505A4">
        <w:trPr>
          <w:jc w:val="center"/>
        </w:trPr>
        <w:tc>
          <w:tcPr>
            <w:tcW w:w="9350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8157"/>
            </w:tblGrid>
            <w:tr w:rsidR="00005E53" w:rsidRPr="00C15307" w14:paraId="7BFBB8C5" w14:textId="77777777" w:rsidTr="00C505A4">
              <w:tc>
                <w:tcPr>
                  <w:tcW w:w="540" w:type="dxa"/>
                  <w:shd w:val="clear" w:color="auto" w:fill="auto"/>
                </w:tcPr>
                <w:p w14:paraId="19D849BC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157" w:type="dxa"/>
                  <w:shd w:val="clear" w:color="auto" w:fill="auto"/>
                </w:tcPr>
                <w:p w14:paraId="19917329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/>
                      <w:color w:val="000000"/>
                      <w:szCs w:val="22"/>
                    </w:rPr>
                    <w:t>ADAMTS13 mutation 1</w:t>
                  </w: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:</w:t>
                  </w: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 </w:t>
                  </w:r>
                  <w:r w:rsidRPr="00126A59">
                    <w:rPr>
                      <w:rFonts w:eastAsia="標楷體"/>
                      <w:color w:val="000000"/>
                      <w:szCs w:val="22"/>
                      <w:u w:val="single"/>
                    </w:rPr>
                    <w:t xml:space="preserve"> </w:t>
                  </w:r>
                  <w:r w:rsidRPr="00126A59">
                    <w:rPr>
                      <w:rFonts w:eastAsia="標楷體" w:hint="eastAsia"/>
                      <w:color w:val="000000"/>
                      <w:szCs w:val="22"/>
                      <w:u w:val="single"/>
                    </w:rPr>
                    <w:t xml:space="preserve">                         </w:t>
                  </w:r>
                </w:p>
              </w:tc>
            </w:tr>
            <w:tr w:rsidR="00005E53" w:rsidRPr="00C15307" w14:paraId="03F7A512" w14:textId="77777777" w:rsidTr="00C505A4">
              <w:tc>
                <w:tcPr>
                  <w:tcW w:w="540" w:type="dxa"/>
                  <w:shd w:val="clear" w:color="auto" w:fill="auto"/>
                </w:tcPr>
                <w:p w14:paraId="02EC4559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 w:hint="eastAsia"/>
                      <w:color w:val="000000"/>
                      <w:szCs w:val="22"/>
                    </w:rPr>
                    <w:t>□</w:t>
                  </w:r>
                </w:p>
              </w:tc>
              <w:tc>
                <w:tcPr>
                  <w:tcW w:w="8157" w:type="dxa"/>
                  <w:shd w:val="clear" w:color="auto" w:fill="auto"/>
                </w:tcPr>
                <w:p w14:paraId="3D2D0A79" w14:textId="77777777" w:rsidR="00005E53" w:rsidRPr="003A0B09" w:rsidRDefault="00005E53" w:rsidP="00C505A4">
                  <w:pPr>
                    <w:snapToGrid w:val="0"/>
                    <w:spacing w:before="60" w:after="60"/>
                    <w:rPr>
                      <w:rFonts w:eastAsia="標楷體"/>
                      <w:color w:val="000000"/>
                      <w:szCs w:val="22"/>
                    </w:rPr>
                  </w:pPr>
                  <w:r w:rsidRPr="003A0B09">
                    <w:rPr>
                      <w:rFonts w:eastAsia="標楷體"/>
                      <w:color w:val="000000"/>
                      <w:szCs w:val="22"/>
                    </w:rPr>
                    <w:t xml:space="preserve">ADAMTS13 mutation 2: </w:t>
                  </w:r>
                  <w:r w:rsidRPr="00126A59">
                    <w:rPr>
                      <w:rFonts w:eastAsia="標楷體"/>
                      <w:color w:val="000000"/>
                      <w:szCs w:val="22"/>
                      <w:u w:val="single"/>
                    </w:rPr>
                    <w:t xml:space="preserve"> </w:t>
                  </w:r>
                  <w:r w:rsidRPr="00126A59">
                    <w:rPr>
                      <w:rFonts w:eastAsia="標楷體" w:hint="eastAsia"/>
                      <w:color w:val="000000"/>
                      <w:szCs w:val="22"/>
                      <w:u w:val="single"/>
                    </w:rPr>
                    <w:t xml:space="preserve">                         </w:t>
                  </w:r>
                </w:p>
              </w:tc>
            </w:tr>
          </w:tbl>
          <w:p w14:paraId="4E84573D" w14:textId="77777777" w:rsidR="00005E53" w:rsidRPr="003A0B09" w:rsidRDefault="00005E53" w:rsidP="00C505A4">
            <w:pPr>
              <w:snapToGrid w:val="0"/>
              <w:spacing w:before="60" w:after="60"/>
              <w:rPr>
                <w:rFonts w:eastAsia="標楷體"/>
                <w:b/>
                <w:bCs/>
                <w:color w:val="000000"/>
                <w:szCs w:val="22"/>
              </w:rPr>
            </w:pPr>
          </w:p>
        </w:tc>
      </w:tr>
    </w:tbl>
    <w:p w14:paraId="7ACA10AF" w14:textId="77777777" w:rsidR="00005E53" w:rsidRPr="003A0B09" w:rsidRDefault="00005E53" w:rsidP="00005E53">
      <w:pPr>
        <w:snapToGrid w:val="0"/>
        <w:spacing w:afterLines="50" w:after="193"/>
        <w:ind w:left="50" w:rightChars="50" w:right="120"/>
        <w:rPr>
          <w:rFonts w:eastAsia="標楷體"/>
          <w:noProof/>
          <w:color w:val="000000"/>
        </w:rPr>
      </w:pPr>
    </w:p>
    <w:p w14:paraId="34EEFF4A" w14:textId="77777777" w:rsidR="00005E53" w:rsidRPr="002D344B" w:rsidRDefault="00005E53" w:rsidP="00005E53">
      <w:pPr>
        <w:widowControl/>
        <w:rPr>
          <w:rFonts w:eastAsia="標楷體"/>
          <w:sz w:val="20"/>
          <w:szCs w:val="18"/>
        </w:rPr>
      </w:pPr>
    </w:p>
    <w:p w14:paraId="4FC47B25" w14:textId="77777777" w:rsidR="00005E53" w:rsidRDefault="00005E53" w:rsidP="00005E53"/>
    <w:p w14:paraId="3FB51C4C" w14:textId="77777777" w:rsidR="00005E53" w:rsidRDefault="00005E53" w:rsidP="00005E53">
      <w:pPr>
        <w:widowControl/>
      </w:pPr>
    </w:p>
    <w:p w14:paraId="40A7EEB4" w14:textId="678A72B3" w:rsidR="00005E53" w:rsidRDefault="00005E53">
      <w:pPr>
        <w:widowControl/>
      </w:pPr>
      <w:r>
        <w:br w:type="page"/>
      </w:r>
    </w:p>
    <w:p w14:paraId="1809E907" w14:textId="77777777" w:rsidR="00877855" w:rsidRPr="003A0B09" w:rsidRDefault="00877855" w:rsidP="00877855">
      <w:pPr>
        <w:snapToGrid w:val="0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lastRenderedPageBreak/>
        <w:t>衛生福利部國民健康署「罕見疾病個案通報審查基準機制」</w:t>
      </w: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(</w:t>
      </w: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審查基準表</w:t>
      </w:r>
      <w:r w:rsidRPr="003A0B09">
        <w:rPr>
          <w:rFonts w:eastAsia="標楷體"/>
          <w:b/>
          <w:bCs/>
          <w:noProof/>
          <w:color w:val="000000"/>
          <w:sz w:val="28"/>
          <w:szCs w:val="28"/>
        </w:rPr>
        <w:t>)</w:t>
      </w:r>
    </w:p>
    <w:p w14:paraId="4F3D5FA0" w14:textId="77777777" w:rsidR="00877855" w:rsidRDefault="00877855" w:rsidP="00877855">
      <w:pPr>
        <w:snapToGrid w:val="0"/>
        <w:spacing w:line="400" w:lineRule="exact"/>
        <w:ind w:left="360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 xml:space="preserve">- </w:t>
      </w:r>
      <w:r w:rsidRPr="003A0B09">
        <w:rPr>
          <w:rFonts w:eastAsia="標楷體" w:hint="eastAsia"/>
          <w:b/>
          <w:bCs/>
          <w:color w:val="000000"/>
          <w:sz w:val="28"/>
          <w:szCs w:val="28"/>
        </w:rPr>
        <w:t>先天性血栓性血小板</w:t>
      </w:r>
      <w:proofErr w:type="gramStart"/>
      <w:r w:rsidRPr="003A0B09">
        <w:rPr>
          <w:rFonts w:eastAsia="標楷體" w:hint="eastAsia"/>
          <w:b/>
          <w:bCs/>
          <w:color w:val="000000"/>
          <w:sz w:val="28"/>
          <w:szCs w:val="28"/>
        </w:rPr>
        <w:t>低下紫</w:t>
      </w:r>
      <w:proofErr w:type="gramEnd"/>
      <w:r w:rsidRPr="003A0B09">
        <w:rPr>
          <w:rFonts w:eastAsia="標楷體" w:hint="eastAsia"/>
          <w:b/>
          <w:bCs/>
          <w:color w:val="000000"/>
          <w:sz w:val="28"/>
          <w:szCs w:val="28"/>
        </w:rPr>
        <w:t>斑症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p w14:paraId="008A4BCE" w14:textId="77777777" w:rsidR="00877855" w:rsidRDefault="00877855" w:rsidP="00877855">
      <w:pPr>
        <w:snapToGrid w:val="0"/>
        <w:spacing w:afterLines="50" w:after="193" w:line="400" w:lineRule="exact"/>
        <w:ind w:left="357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3A0B09">
        <w:rPr>
          <w:rFonts w:eastAsia="標楷體" w:hint="eastAsia"/>
          <w:b/>
          <w:bCs/>
          <w:color w:val="000000"/>
          <w:sz w:val="28"/>
          <w:szCs w:val="28"/>
        </w:rPr>
        <w:t>[Congenital thrombotic thrombocytopenic purpura</w:t>
      </w:r>
      <w:r w:rsidRPr="003A0B09">
        <w:rPr>
          <w:rFonts w:eastAsia="標楷體" w:hint="eastAsia"/>
          <w:color w:val="000000"/>
          <w:sz w:val="28"/>
          <w:szCs w:val="28"/>
        </w:rPr>
        <w:t>]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b/>
          <w:bCs/>
          <w:color w:val="000000"/>
          <w:sz w:val="28"/>
          <w:szCs w:val="28"/>
        </w:rPr>
        <w:t>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1"/>
      </w:tblGrid>
      <w:tr w:rsidR="00877855" w:rsidRPr="00297201" w14:paraId="3A571A93" w14:textId="77777777" w:rsidTr="00C505A4">
        <w:trPr>
          <w:trHeight w:val="2551"/>
        </w:trPr>
        <w:tc>
          <w:tcPr>
            <w:tcW w:w="9781" w:type="dxa"/>
          </w:tcPr>
          <w:p w14:paraId="6AF48E19" w14:textId="77777777" w:rsidR="00877855" w:rsidRPr="00297201" w:rsidRDefault="00877855" w:rsidP="00C505A4">
            <w:pPr>
              <w:snapToGrid w:val="0"/>
              <w:spacing w:line="400" w:lineRule="exact"/>
              <w:rPr>
                <w:rFonts w:eastAsia="標楷體"/>
                <w:b/>
                <w:bCs/>
                <w:noProof/>
                <w:color w:val="000000"/>
              </w:rPr>
            </w:pPr>
            <w:r w:rsidRPr="00297201">
              <w:rPr>
                <w:rFonts w:eastAsia="標楷體" w:hint="eastAsia"/>
                <w:b/>
                <w:bCs/>
                <w:noProof/>
                <w:color w:val="000000"/>
              </w:rPr>
              <w:t>應檢附文件</w:t>
            </w:r>
          </w:p>
          <w:p w14:paraId="42FC43AD" w14:textId="77777777" w:rsidR="00877855" w:rsidRPr="00297201" w:rsidRDefault="00877855" w:rsidP="00C505A4">
            <w:pPr>
              <w:snapToGrid w:val="0"/>
              <w:spacing w:line="400" w:lineRule="exact"/>
              <w:rPr>
                <w:rFonts w:eastAsia="標楷體"/>
                <w:noProof/>
                <w:color w:val="000000"/>
              </w:rPr>
            </w:pPr>
            <w:r w:rsidRPr="00297201">
              <w:rPr>
                <w:rFonts w:eastAsia="標楷體" w:hint="eastAsia"/>
                <w:noProof/>
                <w:color w:val="000000"/>
              </w:rPr>
              <w:t>□</w:t>
            </w:r>
            <w:r w:rsidRPr="00297201">
              <w:rPr>
                <w:rFonts w:eastAsia="標楷體" w:hint="eastAsia"/>
                <w:noProof/>
                <w:color w:val="000000"/>
              </w:rPr>
              <w:tab/>
            </w:r>
            <w:r w:rsidRPr="00297201">
              <w:rPr>
                <w:rFonts w:eastAsia="標楷體" w:hint="eastAsia"/>
                <w:noProof/>
                <w:color w:val="000000"/>
              </w:rPr>
              <w:t>相關臨床症狀及徵兆的病歷紀錄</w:t>
            </w:r>
            <w:r w:rsidRPr="00297201">
              <w:rPr>
                <w:rFonts w:eastAsia="標楷體" w:hint="eastAsia"/>
                <w:noProof/>
                <w:color w:val="000000"/>
              </w:rPr>
              <w:t>(</w:t>
            </w:r>
            <w:r w:rsidRPr="00297201">
              <w:rPr>
                <w:rFonts w:eastAsia="標楷體" w:hint="eastAsia"/>
                <w:noProof/>
                <w:color w:val="000000"/>
              </w:rPr>
              <w:t>必要</w:t>
            </w:r>
            <w:r w:rsidRPr="00297201">
              <w:rPr>
                <w:rFonts w:eastAsia="標楷體" w:hint="eastAsia"/>
                <w:noProof/>
                <w:color w:val="000000"/>
              </w:rPr>
              <w:t>)</w:t>
            </w:r>
          </w:p>
          <w:p w14:paraId="62BD2195" w14:textId="77777777" w:rsidR="00877855" w:rsidRPr="00297201" w:rsidRDefault="00877855" w:rsidP="00C505A4">
            <w:pPr>
              <w:snapToGrid w:val="0"/>
              <w:spacing w:line="400" w:lineRule="exact"/>
              <w:rPr>
                <w:rFonts w:eastAsia="標楷體"/>
                <w:noProof/>
                <w:color w:val="000000"/>
              </w:rPr>
            </w:pPr>
            <w:r w:rsidRPr="00297201">
              <w:rPr>
                <w:rFonts w:eastAsia="標楷體" w:hint="eastAsia"/>
                <w:noProof/>
                <w:color w:val="000000"/>
              </w:rPr>
              <w:t>□</w:t>
            </w:r>
            <w:r w:rsidRPr="00297201">
              <w:rPr>
                <w:rFonts w:eastAsia="標楷體" w:hint="eastAsia"/>
                <w:noProof/>
                <w:color w:val="000000"/>
              </w:rPr>
              <w:tab/>
            </w:r>
            <w:r w:rsidRPr="00297201">
              <w:rPr>
                <w:rFonts w:eastAsia="標楷體" w:hint="eastAsia"/>
                <w:noProof/>
                <w:color w:val="000000"/>
              </w:rPr>
              <w:t>實驗室檢驗數據：血小板、血色素及各項溶血相關數值</w:t>
            </w:r>
            <w:r w:rsidRPr="00297201">
              <w:rPr>
                <w:rFonts w:eastAsia="標楷體" w:hint="eastAsia"/>
                <w:noProof/>
                <w:color w:val="000000"/>
              </w:rPr>
              <w:t>(</w:t>
            </w:r>
            <w:r w:rsidRPr="00297201">
              <w:rPr>
                <w:rFonts w:eastAsia="標楷體" w:hint="eastAsia"/>
                <w:noProof/>
                <w:color w:val="000000"/>
              </w:rPr>
              <w:t>必要</w:t>
            </w:r>
            <w:r w:rsidRPr="00297201">
              <w:rPr>
                <w:rFonts w:eastAsia="標楷體" w:hint="eastAsia"/>
                <w:noProof/>
                <w:color w:val="000000"/>
              </w:rPr>
              <w:t>)</w:t>
            </w:r>
          </w:p>
          <w:p w14:paraId="0CBE33E3" w14:textId="77777777" w:rsidR="00877855" w:rsidRPr="00297201" w:rsidRDefault="00877855" w:rsidP="00C505A4">
            <w:pPr>
              <w:snapToGrid w:val="0"/>
              <w:spacing w:line="400" w:lineRule="exact"/>
              <w:rPr>
                <w:rFonts w:eastAsia="標楷體"/>
                <w:noProof/>
                <w:color w:val="000000"/>
              </w:rPr>
            </w:pPr>
            <w:r w:rsidRPr="00297201">
              <w:rPr>
                <w:rFonts w:eastAsia="標楷體" w:hint="eastAsia"/>
                <w:noProof/>
                <w:color w:val="000000"/>
              </w:rPr>
              <w:t>□</w:t>
            </w:r>
            <w:r w:rsidRPr="00297201">
              <w:rPr>
                <w:rFonts w:eastAsia="標楷體" w:hint="eastAsia"/>
                <w:noProof/>
                <w:color w:val="000000"/>
              </w:rPr>
              <w:tab/>
            </w:r>
            <w:r w:rsidRPr="00297201">
              <w:rPr>
                <w:rFonts w:eastAsia="標楷體" w:hint="eastAsia"/>
                <w:noProof/>
                <w:color w:val="000000"/>
              </w:rPr>
              <w:t>血中</w:t>
            </w:r>
            <w:r w:rsidRPr="00297201">
              <w:rPr>
                <w:rFonts w:eastAsia="標楷體" w:hint="eastAsia"/>
                <w:noProof/>
                <w:color w:val="000000"/>
              </w:rPr>
              <w:t>ADAMTS13</w:t>
            </w:r>
            <w:r w:rsidRPr="00297201">
              <w:rPr>
                <w:rFonts w:eastAsia="標楷體" w:hint="eastAsia"/>
                <w:noProof/>
                <w:color w:val="000000"/>
              </w:rPr>
              <w:t>蛋白活性檢測數值</w:t>
            </w:r>
            <w:r w:rsidRPr="00297201">
              <w:rPr>
                <w:rFonts w:eastAsia="標楷體" w:hint="eastAsia"/>
                <w:noProof/>
                <w:color w:val="000000"/>
              </w:rPr>
              <w:t>(</w:t>
            </w:r>
            <w:r w:rsidRPr="00297201">
              <w:rPr>
                <w:rFonts w:eastAsia="標楷體" w:hint="eastAsia"/>
                <w:noProof/>
                <w:color w:val="000000"/>
              </w:rPr>
              <w:t>必要</w:t>
            </w:r>
            <w:r w:rsidRPr="00297201">
              <w:rPr>
                <w:rFonts w:eastAsia="標楷體" w:hint="eastAsia"/>
                <w:noProof/>
                <w:color w:val="000000"/>
              </w:rPr>
              <w:t>)</w:t>
            </w:r>
          </w:p>
          <w:p w14:paraId="77D94E5F" w14:textId="77777777" w:rsidR="00877855" w:rsidRPr="00297201" w:rsidRDefault="00877855" w:rsidP="00C505A4">
            <w:pPr>
              <w:snapToGrid w:val="0"/>
              <w:spacing w:line="400" w:lineRule="exact"/>
              <w:rPr>
                <w:rFonts w:eastAsia="標楷體"/>
                <w:noProof/>
                <w:color w:val="000000"/>
              </w:rPr>
            </w:pPr>
            <w:r w:rsidRPr="00297201">
              <w:rPr>
                <w:rFonts w:eastAsia="標楷體" w:hint="eastAsia"/>
                <w:noProof/>
                <w:color w:val="000000"/>
              </w:rPr>
              <w:t>□</w:t>
            </w:r>
            <w:r w:rsidRPr="00297201">
              <w:rPr>
                <w:rFonts w:eastAsia="標楷體" w:hint="eastAsia"/>
                <w:noProof/>
                <w:color w:val="000000"/>
              </w:rPr>
              <w:tab/>
            </w:r>
            <w:r w:rsidRPr="00297201">
              <w:rPr>
                <w:rFonts w:eastAsia="標楷體" w:hint="eastAsia"/>
                <w:noProof/>
                <w:color w:val="000000"/>
              </w:rPr>
              <w:t>血中</w:t>
            </w:r>
            <w:r w:rsidRPr="00297201">
              <w:rPr>
                <w:rFonts w:eastAsia="標楷體" w:hint="eastAsia"/>
                <w:noProof/>
                <w:color w:val="000000"/>
              </w:rPr>
              <w:t>anti-ADAMTS13 antibody</w:t>
            </w:r>
            <w:r w:rsidRPr="00297201">
              <w:rPr>
                <w:rFonts w:eastAsia="標楷體" w:hint="eastAsia"/>
                <w:noProof/>
                <w:color w:val="000000"/>
              </w:rPr>
              <w:t>狀態</w:t>
            </w:r>
            <w:r w:rsidRPr="00297201">
              <w:rPr>
                <w:rFonts w:eastAsia="標楷體" w:hint="eastAsia"/>
                <w:noProof/>
                <w:color w:val="000000"/>
              </w:rPr>
              <w:t>(</w:t>
            </w:r>
            <w:r w:rsidRPr="00297201">
              <w:rPr>
                <w:rFonts w:eastAsia="標楷體" w:hint="eastAsia"/>
                <w:noProof/>
                <w:color w:val="000000"/>
              </w:rPr>
              <w:t>必要</w:t>
            </w:r>
            <w:r w:rsidRPr="00297201">
              <w:rPr>
                <w:rFonts w:eastAsia="標楷體" w:hint="eastAsia"/>
                <w:noProof/>
                <w:color w:val="000000"/>
              </w:rPr>
              <w:t>)</w:t>
            </w:r>
          </w:p>
          <w:p w14:paraId="66A09A94" w14:textId="77777777" w:rsidR="00877855" w:rsidRPr="00297201" w:rsidRDefault="00877855" w:rsidP="00C505A4">
            <w:pPr>
              <w:snapToGrid w:val="0"/>
              <w:spacing w:line="400" w:lineRule="exact"/>
              <w:rPr>
                <w:rFonts w:eastAsia="標楷體"/>
                <w:noProof/>
                <w:color w:val="000000"/>
              </w:rPr>
            </w:pPr>
            <w:r w:rsidRPr="00297201">
              <w:rPr>
                <w:rFonts w:eastAsia="標楷體" w:hint="eastAsia"/>
                <w:noProof/>
                <w:color w:val="000000"/>
              </w:rPr>
              <w:t>□</w:t>
            </w:r>
            <w:r w:rsidRPr="00297201">
              <w:rPr>
                <w:rFonts w:eastAsia="標楷體" w:hint="eastAsia"/>
                <w:noProof/>
                <w:color w:val="000000"/>
              </w:rPr>
              <w:tab/>
              <w:t>ADAMTS13</w:t>
            </w:r>
            <w:r w:rsidRPr="00297201">
              <w:rPr>
                <w:rFonts w:eastAsia="標楷體" w:hint="eastAsia"/>
                <w:noProof/>
                <w:color w:val="000000"/>
              </w:rPr>
              <w:t>基因檢測報告</w:t>
            </w:r>
            <w:r w:rsidRPr="00297201">
              <w:rPr>
                <w:rFonts w:eastAsia="標楷體" w:hint="eastAsia"/>
                <w:noProof/>
                <w:color w:val="000000"/>
              </w:rPr>
              <w:t>(</w:t>
            </w:r>
            <w:r w:rsidRPr="00297201">
              <w:rPr>
                <w:rFonts w:eastAsia="標楷體" w:hint="eastAsia"/>
                <w:noProof/>
                <w:color w:val="000000"/>
              </w:rPr>
              <w:t>必要</w:t>
            </w:r>
            <w:r w:rsidRPr="00297201">
              <w:rPr>
                <w:rFonts w:eastAsia="標楷體" w:hint="eastAsia"/>
                <w:noProof/>
                <w:color w:val="000000"/>
              </w:rPr>
              <w:t>)</w:t>
            </w:r>
          </w:p>
        </w:tc>
      </w:tr>
    </w:tbl>
    <w:p w14:paraId="3AA34814" w14:textId="77777777" w:rsidR="00877855" w:rsidRDefault="00877855" w:rsidP="00877855">
      <w:pPr>
        <w:snapToGrid w:val="0"/>
        <w:spacing w:line="280" w:lineRule="exact"/>
        <w:rPr>
          <w:rFonts w:eastAsia="標楷體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E071" wp14:editId="570E2A8A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0" cy="287655"/>
                <wp:effectExtent l="76200" t="0" r="57150" b="55245"/>
                <wp:wrapNone/>
                <wp:docPr id="857578017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F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.2pt;width:0;height:22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">
                <v:stroke endarrow="block"/>
                <w10:wrap anchorx="margin"/>
              </v:shape>
            </w:pict>
          </mc:Fallback>
        </mc:AlternateContent>
      </w:r>
    </w:p>
    <w:p w14:paraId="2510F678" w14:textId="77777777" w:rsidR="00877855" w:rsidRPr="003A0B09" w:rsidRDefault="00877855" w:rsidP="00877855">
      <w:pPr>
        <w:snapToGrid w:val="0"/>
        <w:spacing w:line="280" w:lineRule="exact"/>
        <w:rPr>
          <w:rFonts w:eastAsia="標楷體"/>
          <w:noProof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1"/>
      </w:tblGrid>
      <w:tr w:rsidR="00877855" w:rsidRPr="00297201" w14:paraId="6CE67DF2" w14:textId="77777777" w:rsidTr="00C505A4">
        <w:trPr>
          <w:trHeight w:val="2040"/>
        </w:trPr>
        <w:tc>
          <w:tcPr>
            <w:tcW w:w="9781" w:type="dxa"/>
          </w:tcPr>
          <w:p w14:paraId="16CC0CD9" w14:textId="77777777" w:rsidR="00877855" w:rsidRPr="00297201" w:rsidRDefault="00877855" w:rsidP="00C505A4">
            <w:pPr>
              <w:spacing w:line="400" w:lineRule="exact"/>
              <w:rPr>
                <w:rFonts w:eastAsia="標楷體"/>
                <w:b/>
              </w:rPr>
            </w:pPr>
            <w:r w:rsidRPr="00297201">
              <w:rPr>
                <w:rFonts w:eastAsia="標楷體"/>
                <w:b/>
              </w:rPr>
              <w:t>臨床診斷標準</w:t>
            </w:r>
            <w:r w:rsidRPr="00297201">
              <w:rPr>
                <w:rFonts w:eastAsia="標楷體" w:hint="eastAsia"/>
                <w:b/>
              </w:rPr>
              <w:t>(</w:t>
            </w:r>
            <w:r w:rsidRPr="00297201">
              <w:rPr>
                <w:rFonts w:eastAsia="標楷體" w:hint="eastAsia"/>
                <w:b/>
              </w:rPr>
              <w:t>皆需符合</w:t>
            </w:r>
            <w:r w:rsidRPr="00297201">
              <w:rPr>
                <w:rFonts w:eastAsia="標楷體" w:hint="eastAsia"/>
                <w:b/>
              </w:rPr>
              <w:t>)</w:t>
            </w:r>
          </w:p>
          <w:p w14:paraId="2D159D9A" w14:textId="77777777" w:rsidR="00877855" w:rsidRPr="00297201" w:rsidRDefault="00877855" w:rsidP="00C505A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</w:rPr>
            </w:pPr>
            <w:r w:rsidRPr="00297201">
              <w:rPr>
                <w:rFonts w:eastAsia="標楷體"/>
              </w:rPr>
              <w:t>血</w:t>
            </w:r>
            <w:r w:rsidRPr="00297201">
              <w:rPr>
                <w:rFonts w:eastAsia="標楷體" w:hint="eastAsia"/>
              </w:rPr>
              <w:t>小板下降、血紅素下降、血液抹片呈現</w:t>
            </w:r>
            <w:r w:rsidRPr="00297201">
              <w:rPr>
                <w:rFonts w:eastAsia="標楷體"/>
              </w:rPr>
              <w:t>Schistocytes</w:t>
            </w:r>
          </w:p>
          <w:p w14:paraId="314BDC56" w14:textId="77777777" w:rsidR="00877855" w:rsidRPr="00297201" w:rsidRDefault="00877855" w:rsidP="00C505A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</w:rPr>
            </w:pPr>
            <w:r w:rsidRPr="00297201">
              <w:rPr>
                <w:rFonts w:eastAsia="標楷體" w:hint="eastAsia"/>
              </w:rPr>
              <w:t>檢驗數值符合血管內溶血的表現</w:t>
            </w:r>
          </w:p>
          <w:p w14:paraId="46509C58" w14:textId="77777777" w:rsidR="00877855" w:rsidRDefault="00877855" w:rsidP="00C505A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</w:rPr>
            </w:pPr>
            <w:r w:rsidRPr="00297201">
              <w:rPr>
                <w:rFonts w:eastAsia="標楷體" w:hint="eastAsia"/>
              </w:rPr>
              <w:t>A</w:t>
            </w:r>
            <w:r w:rsidRPr="00297201">
              <w:rPr>
                <w:rFonts w:eastAsia="標楷體"/>
              </w:rPr>
              <w:t>DAMTS13</w:t>
            </w:r>
            <w:r w:rsidRPr="00297201">
              <w:rPr>
                <w:rFonts w:eastAsia="標楷體"/>
              </w:rPr>
              <w:t>活</w:t>
            </w:r>
            <w:r w:rsidRPr="00297201">
              <w:rPr>
                <w:rFonts w:eastAsia="標楷體" w:hint="eastAsia"/>
              </w:rPr>
              <w:t>性</w:t>
            </w:r>
            <w:r w:rsidRPr="00297201">
              <w:rPr>
                <w:rFonts w:eastAsia="標楷體" w:hint="eastAsia"/>
              </w:rPr>
              <w:t xml:space="preserve"> </w:t>
            </w:r>
            <w:r w:rsidRPr="00297201">
              <w:rPr>
                <w:rFonts w:eastAsia="標楷體"/>
              </w:rPr>
              <w:t>&lt; 10%</w:t>
            </w:r>
          </w:p>
          <w:p w14:paraId="1D8AB24A" w14:textId="77777777" w:rsidR="00877855" w:rsidRPr="00297201" w:rsidRDefault="00877855" w:rsidP="00C505A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</w:rPr>
            </w:pPr>
            <w:r w:rsidRPr="00297201">
              <w:rPr>
                <w:rFonts w:eastAsia="標楷體"/>
              </w:rPr>
              <w:t>Anti-</w:t>
            </w:r>
            <w:r w:rsidRPr="00297201">
              <w:rPr>
                <w:rFonts w:eastAsia="標楷體" w:hint="eastAsia"/>
              </w:rPr>
              <w:t>A</w:t>
            </w:r>
            <w:r w:rsidRPr="00297201">
              <w:rPr>
                <w:rFonts w:eastAsia="標楷體"/>
              </w:rPr>
              <w:t xml:space="preserve">DAMTS13 </w:t>
            </w:r>
            <w:r w:rsidRPr="00297201">
              <w:rPr>
                <w:rFonts w:eastAsia="標楷體" w:hint="eastAsia"/>
              </w:rPr>
              <w:t>抗體</w:t>
            </w:r>
            <w:r w:rsidRPr="00297201">
              <w:rPr>
                <w:rFonts w:eastAsia="標楷體" w:hint="eastAsia"/>
              </w:rPr>
              <w:t xml:space="preserve"> </w:t>
            </w:r>
            <w:r w:rsidRPr="00297201">
              <w:rPr>
                <w:rFonts w:eastAsia="標楷體" w:hint="eastAsia"/>
              </w:rPr>
              <w:t>陰性</w:t>
            </w:r>
          </w:p>
        </w:tc>
      </w:tr>
    </w:tbl>
    <w:p w14:paraId="617AAE8A" w14:textId="77777777" w:rsidR="00877855" w:rsidRPr="003A0B09" w:rsidRDefault="00877855" w:rsidP="00877855">
      <w:pPr>
        <w:snapToGrid w:val="0"/>
        <w:spacing w:line="280" w:lineRule="exact"/>
        <w:rPr>
          <w:rFonts w:eastAsia="標楷體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2C1A7" wp14:editId="144C157D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288000"/>
                <wp:effectExtent l="76200" t="0" r="57150" b="55245"/>
                <wp:wrapNone/>
                <wp:docPr id="116289616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A3F6" id="Straight Arrow Connector 3" o:spid="_x0000_s1026" type="#_x0000_t32" style="position:absolute;margin-left:0;margin-top:-.05pt;width:0;height:22.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">
                <v:stroke endarrow="block"/>
                <w10:wrap anchorx="margin"/>
              </v:shape>
            </w:pict>
          </mc:Fallback>
        </mc:AlternateContent>
      </w:r>
    </w:p>
    <w:p w14:paraId="3A86C743" w14:textId="77777777" w:rsidR="00877855" w:rsidRPr="003A0B09" w:rsidRDefault="00877855" w:rsidP="00877855">
      <w:pPr>
        <w:snapToGrid w:val="0"/>
        <w:spacing w:line="280" w:lineRule="exact"/>
        <w:rPr>
          <w:rFonts w:eastAsia="標楷體"/>
          <w:noProof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1"/>
      </w:tblGrid>
      <w:tr w:rsidR="00877855" w:rsidRPr="00297201" w14:paraId="186B529C" w14:textId="77777777" w:rsidTr="00C505A4">
        <w:trPr>
          <w:trHeight w:val="810"/>
        </w:trPr>
        <w:tc>
          <w:tcPr>
            <w:tcW w:w="9781" w:type="dxa"/>
          </w:tcPr>
          <w:p w14:paraId="5F973B17" w14:textId="77777777" w:rsidR="00877855" w:rsidRPr="00297201" w:rsidRDefault="00877855" w:rsidP="00C505A4">
            <w:pPr>
              <w:spacing w:line="400" w:lineRule="exact"/>
              <w:rPr>
                <w:rFonts w:eastAsia="標楷體"/>
                <w:b/>
              </w:rPr>
            </w:pPr>
            <w:r w:rsidRPr="00297201">
              <w:rPr>
                <w:rFonts w:eastAsia="標楷體"/>
                <w:b/>
              </w:rPr>
              <w:t>Congenital TTP</w:t>
            </w:r>
          </w:p>
          <w:p w14:paraId="47C2D4D2" w14:textId="77777777" w:rsidR="00877855" w:rsidRPr="00297201" w:rsidRDefault="00877855" w:rsidP="00C505A4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297201">
              <w:rPr>
                <w:rFonts w:eastAsia="標楷體" w:hint="eastAsia"/>
              </w:rPr>
              <w:t>A</w:t>
            </w:r>
            <w:r w:rsidRPr="00297201">
              <w:rPr>
                <w:rFonts w:eastAsia="標楷體"/>
              </w:rPr>
              <w:t>DATMS13</w:t>
            </w:r>
            <w:r w:rsidRPr="00297201">
              <w:rPr>
                <w:rFonts w:eastAsia="標楷體" w:hint="eastAsia"/>
              </w:rPr>
              <w:t>基因檢測結果</w:t>
            </w:r>
            <w:r w:rsidRPr="00297201">
              <w:rPr>
                <w:rFonts w:eastAsia="標楷體" w:hint="eastAsia"/>
              </w:rPr>
              <w:t>(</w:t>
            </w:r>
            <w:r w:rsidRPr="00297201">
              <w:rPr>
                <w:rFonts w:eastAsia="標楷體" w:hint="eastAsia"/>
              </w:rPr>
              <w:t>必要</w:t>
            </w:r>
            <w:r w:rsidRPr="00297201">
              <w:rPr>
                <w:rFonts w:eastAsia="標楷體" w:hint="eastAsia"/>
              </w:rPr>
              <w:t>)</w:t>
            </w:r>
          </w:p>
        </w:tc>
      </w:tr>
    </w:tbl>
    <w:p w14:paraId="455F337D" w14:textId="77777777" w:rsidR="00163442" w:rsidRPr="00005E53" w:rsidRDefault="00163442" w:rsidP="007A336B">
      <w:pPr>
        <w:snapToGrid w:val="0"/>
        <w:spacing w:afterLines="50" w:after="193"/>
      </w:pPr>
    </w:p>
    <w:sectPr w:rsidR="00163442" w:rsidRPr="00005E53" w:rsidSect="004A4D61">
      <w:footerReference w:type="default" r:id="rId7"/>
      <w:pgSz w:w="11906" w:h="16838"/>
      <w:pgMar w:top="1134" w:right="924" w:bottom="1134" w:left="1191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B7CA" w14:textId="77777777" w:rsidR="00C75D44" w:rsidRDefault="00C75D44" w:rsidP="00943101">
      <w:r>
        <w:separator/>
      </w:r>
    </w:p>
  </w:endnote>
  <w:endnote w:type="continuationSeparator" w:id="0">
    <w:p w14:paraId="1E73F416" w14:textId="77777777" w:rsidR="00C75D44" w:rsidRDefault="00C75D44" w:rsidP="0094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D62C" w14:textId="77777777" w:rsidR="00943101" w:rsidRDefault="009431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80B41">
      <w:rPr>
        <w:noProof/>
        <w:lang w:val="zh-TW"/>
      </w:rPr>
      <w:t>7</w:t>
    </w:r>
    <w:r>
      <w:fldChar w:fldCharType="end"/>
    </w:r>
  </w:p>
  <w:p w14:paraId="698B470D" w14:textId="77777777" w:rsidR="00943101" w:rsidRDefault="00943101" w:rsidP="00D97E22">
    <w:pPr>
      <w:pStyle w:val="a3"/>
    </w:pPr>
  </w:p>
  <w:p w14:paraId="1F319B4F" w14:textId="77777777" w:rsidR="00943101" w:rsidRDefault="009431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1944" w14:textId="77777777" w:rsidR="00C75D44" w:rsidRDefault="00C75D44" w:rsidP="00943101">
      <w:r>
        <w:separator/>
      </w:r>
    </w:p>
  </w:footnote>
  <w:footnote w:type="continuationSeparator" w:id="0">
    <w:p w14:paraId="3ACCCF3F" w14:textId="77777777" w:rsidR="00C75D44" w:rsidRDefault="00C75D44" w:rsidP="0094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C5"/>
    <w:multiLevelType w:val="hybridMultilevel"/>
    <w:tmpl w:val="E1A4165A"/>
    <w:lvl w:ilvl="0" w:tplc="B438417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2645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61"/>
    <w:rsid w:val="00005E53"/>
    <w:rsid w:val="00163442"/>
    <w:rsid w:val="004A4D61"/>
    <w:rsid w:val="0058386B"/>
    <w:rsid w:val="00721FD0"/>
    <w:rsid w:val="007A336B"/>
    <w:rsid w:val="00862A5A"/>
    <w:rsid w:val="00877855"/>
    <w:rsid w:val="00943101"/>
    <w:rsid w:val="00984F8B"/>
    <w:rsid w:val="00C75D44"/>
    <w:rsid w:val="00C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88003"/>
  <w15:chartTrackingRefBased/>
  <w15:docId w15:val="{90E94758-D3E3-44B7-944D-77247863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A4D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qFormat/>
    <w:rsid w:val="004A4D6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43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01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7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送審資料表及審查基準表_79_先天性血栓性血小板低下紫斑症</dc:title>
  <dc:subject/>
  <dc:creator>許雅雯(Linda Shiu)</dc:creator>
  <cp:keywords/>
  <dc:description/>
  <cp:lastModifiedBy>許雅雯(Linda Shiu)</cp:lastModifiedBy>
  <cp:revision>9</cp:revision>
  <dcterms:created xsi:type="dcterms:W3CDTF">2023-10-26T07:37:00Z</dcterms:created>
  <dcterms:modified xsi:type="dcterms:W3CDTF">2024-01-08T05:39:00Z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2023-10-26T07:41:49Z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acd5f0f9-bc5a-406d-a81a-f669db1a11c2</vt:lpwstr>
  </property>
  <property fmtid="{D5CDD505-2E9C-101B-9397-08002B2CF9AE}" pid="8" name="MSIP_Label_755196ac-7daa-415d-ac3a-bda7dffaa0f9_ContentBits">
    <vt:lpwstr>0</vt:lpwstr>
  </property>
</Properties>
</file>