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B0FB" w14:textId="77777777" w:rsidR="00CC5CEA" w:rsidRPr="002D03E2" w:rsidRDefault="00CC5CEA" w:rsidP="00CC5CEA">
      <w:pPr>
        <w:widowControl/>
        <w:spacing w:line="400" w:lineRule="exact"/>
        <w:ind w:leftChars="-118" w:left="-283"/>
        <w:jc w:val="center"/>
        <w:rPr>
          <w:rFonts w:eastAsia="標楷體"/>
          <w:b/>
          <w:bCs/>
          <w:sz w:val="28"/>
          <w:szCs w:val="28"/>
        </w:rPr>
      </w:pPr>
      <w:r w:rsidRPr="002D03E2">
        <w:rPr>
          <w:rFonts w:eastAsia="標楷體"/>
          <w:b/>
          <w:noProof/>
          <w:sz w:val="28"/>
          <w:szCs w:val="28"/>
        </w:rPr>
        <w:t>衛生福利部國民健康署「罕見疾病個案通報審查標準機制」</w:t>
      </w:r>
      <w:r w:rsidRPr="002D03E2">
        <w:rPr>
          <w:rFonts w:eastAsia="標楷體"/>
          <w:b/>
          <w:noProof/>
          <w:sz w:val="28"/>
          <w:szCs w:val="28"/>
        </w:rPr>
        <w:t>(</w:t>
      </w:r>
      <w:r w:rsidRPr="002D03E2">
        <w:rPr>
          <w:rFonts w:eastAsia="標楷體"/>
          <w:b/>
          <w:noProof/>
          <w:sz w:val="28"/>
          <w:szCs w:val="28"/>
        </w:rPr>
        <w:t>送審資料表</w:t>
      </w:r>
      <w:r w:rsidRPr="002D03E2">
        <w:rPr>
          <w:rFonts w:eastAsia="標楷體"/>
          <w:b/>
          <w:noProof/>
          <w:sz w:val="28"/>
          <w:szCs w:val="28"/>
        </w:rPr>
        <w:t>)</w:t>
      </w:r>
    </w:p>
    <w:p w14:paraId="7BC9635A" w14:textId="77777777" w:rsidR="00CC5CEA" w:rsidRPr="002D03E2" w:rsidRDefault="00CC5CEA" w:rsidP="00CC5CEA">
      <w:pPr>
        <w:widowControl/>
        <w:spacing w:afterLines="50" w:after="180" w:line="400" w:lineRule="exact"/>
        <w:jc w:val="center"/>
        <w:rPr>
          <w:b/>
          <w:sz w:val="28"/>
          <w:szCs w:val="28"/>
        </w:rPr>
      </w:pPr>
      <w:r w:rsidRPr="002D03E2">
        <w:rPr>
          <w:b/>
          <w:sz w:val="28"/>
          <w:szCs w:val="28"/>
        </w:rPr>
        <w:t>-</w:t>
      </w:r>
      <w:r w:rsidRPr="002D03E2">
        <w:rPr>
          <w:rFonts w:eastAsia="標楷體"/>
          <w:b/>
          <w:kern w:val="0"/>
          <w:sz w:val="28"/>
          <w:szCs w:val="28"/>
        </w:rPr>
        <w:t>陣發性夜間血紅素尿症</w:t>
      </w:r>
      <w:r w:rsidRPr="002D03E2">
        <w:rPr>
          <w:rFonts w:eastAsia="標楷體"/>
          <w:b/>
          <w:sz w:val="28"/>
          <w:szCs w:val="28"/>
        </w:rPr>
        <w:t>[Paroxysmal nocturnal hemoglobinuria, PNH]</w:t>
      </w:r>
      <w:r w:rsidRPr="002D03E2">
        <w:rPr>
          <w:b/>
          <w:sz w:val="28"/>
          <w:szCs w:val="28"/>
        </w:rPr>
        <w:t>-</w:t>
      </w:r>
    </w:p>
    <w:p w14:paraId="77F56030" w14:textId="77777777" w:rsidR="00CC5CEA" w:rsidRPr="002D03E2" w:rsidRDefault="00CC5CEA" w:rsidP="00CC5CEA">
      <w:pPr>
        <w:rPr>
          <w:rFonts w:eastAsia="標楷體"/>
        </w:rPr>
      </w:pPr>
      <w:r w:rsidRPr="002D03E2">
        <w:rPr>
          <w:rFonts w:eastAsia="標楷體" w:hint="eastAsia"/>
        </w:rPr>
        <w:t>檢附文件</w:t>
      </w:r>
    </w:p>
    <w:p w14:paraId="1B78123E" w14:textId="77777777" w:rsidR="00CC5CEA" w:rsidRPr="002D03E2" w:rsidRDefault="00CC5CEA" w:rsidP="00CC5CEA">
      <w:pPr>
        <w:numPr>
          <w:ilvl w:val="0"/>
          <w:numId w:val="7"/>
        </w:numPr>
        <w:rPr>
          <w:rFonts w:eastAsia="標楷體"/>
        </w:rPr>
      </w:pPr>
      <w:r w:rsidRPr="002D03E2">
        <w:rPr>
          <w:rFonts w:ascii="標楷體" w:eastAsia="標楷體" w:hAnsi="標楷體" w:hint="eastAsia"/>
          <w:kern w:val="0"/>
        </w:rPr>
        <w:t>□</w:t>
      </w:r>
      <w:r w:rsidRPr="002D03E2">
        <w:rPr>
          <w:rFonts w:eastAsia="標楷體" w:hint="eastAsia"/>
        </w:rPr>
        <w:t>臨床症狀及徵兆之病歷紀錄，需包含病史、用藥史等</w:t>
      </w:r>
      <w:r w:rsidRPr="002D03E2">
        <w:rPr>
          <w:rFonts w:eastAsia="標楷體" w:hint="eastAsia"/>
        </w:rPr>
        <w:t>(</w:t>
      </w:r>
      <w:r w:rsidRPr="002D03E2">
        <w:rPr>
          <w:rFonts w:eastAsia="標楷體" w:hint="eastAsia"/>
        </w:rPr>
        <w:t>必要</w:t>
      </w:r>
      <w:r w:rsidRPr="002D03E2">
        <w:rPr>
          <w:rFonts w:eastAsia="標楷體" w:hint="eastAsia"/>
        </w:rPr>
        <w:t>)</w:t>
      </w:r>
    </w:p>
    <w:p w14:paraId="6860914A" w14:textId="77777777" w:rsidR="00CC5CEA" w:rsidRPr="002D03E2" w:rsidRDefault="00CC5CEA" w:rsidP="00CC5CEA">
      <w:pPr>
        <w:numPr>
          <w:ilvl w:val="0"/>
          <w:numId w:val="7"/>
        </w:numPr>
        <w:rPr>
          <w:rFonts w:eastAsia="標楷體"/>
        </w:rPr>
      </w:pPr>
      <w:r w:rsidRPr="002D03E2">
        <w:rPr>
          <w:rFonts w:ascii="標楷體" w:eastAsia="標楷體" w:hAnsi="標楷體" w:hint="eastAsia"/>
          <w:kern w:val="0"/>
        </w:rPr>
        <w:t>□</w:t>
      </w:r>
      <w:r w:rsidRPr="002D03E2">
        <w:rPr>
          <w:rFonts w:eastAsia="標楷體" w:hint="eastAsia"/>
        </w:rPr>
        <w:t>骨髓切片病理報告與抹片報告</w:t>
      </w:r>
      <w:r w:rsidRPr="002D03E2">
        <w:rPr>
          <w:rFonts w:eastAsia="標楷體" w:hint="eastAsia"/>
        </w:rPr>
        <w:t>(</w:t>
      </w:r>
      <w:r w:rsidRPr="002D03E2">
        <w:rPr>
          <w:rFonts w:eastAsia="標楷體" w:hint="eastAsia"/>
        </w:rPr>
        <w:t>必要</w:t>
      </w:r>
      <w:r w:rsidRPr="002D03E2">
        <w:rPr>
          <w:rFonts w:eastAsia="標楷體" w:hint="eastAsia"/>
        </w:rPr>
        <w:t>)</w:t>
      </w:r>
    </w:p>
    <w:p w14:paraId="5BB2A9A2" w14:textId="77777777" w:rsidR="00CC5CEA" w:rsidRPr="002D03E2" w:rsidRDefault="00CC5CEA" w:rsidP="00CC5CEA">
      <w:pPr>
        <w:numPr>
          <w:ilvl w:val="0"/>
          <w:numId w:val="7"/>
        </w:numPr>
        <w:rPr>
          <w:rFonts w:eastAsia="標楷體"/>
        </w:rPr>
      </w:pPr>
      <w:r w:rsidRPr="002D03E2">
        <w:rPr>
          <w:rFonts w:ascii="標楷體" w:eastAsia="標楷體" w:hAnsi="標楷體" w:hint="eastAsia"/>
          <w:kern w:val="0"/>
        </w:rPr>
        <w:t>□骨髓細胞之染色體報告</w:t>
      </w:r>
      <w:r w:rsidRPr="002D03E2">
        <w:rPr>
          <w:rFonts w:eastAsia="標楷體" w:hint="eastAsia"/>
        </w:rPr>
        <w:t>(</w:t>
      </w:r>
      <w:r w:rsidRPr="002D03E2">
        <w:rPr>
          <w:rFonts w:eastAsia="標楷體" w:hint="eastAsia"/>
        </w:rPr>
        <w:t>必要</w:t>
      </w:r>
      <w:r w:rsidRPr="002D03E2">
        <w:rPr>
          <w:rFonts w:eastAsia="標楷體" w:hint="eastAsia"/>
        </w:rPr>
        <w:t>)</w:t>
      </w:r>
    </w:p>
    <w:p w14:paraId="70229F50" w14:textId="77777777" w:rsidR="00CC5CEA" w:rsidRPr="002D03E2" w:rsidRDefault="00CC5CEA" w:rsidP="00CC5CEA">
      <w:pPr>
        <w:numPr>
          <w:ilvl w:val="0"/>
          <w:numId w:val="7"/>
        </w:numPr>
        <w:rPr>
          <w:rFonts w:eastAsia="標楷體"/>
        </w:rPr>
      </w:pPr>
      <w:r w:rsidRPr="002D03E2">
        <w:rPr>
          <w:rFonts w:ascii="標楷體" w:eastAsia="標楷體" w:hAnsi="標楷體" w:hint="eastAsia"/>
          <w:kern w:val="0"/>
        </w:rPr>
        <w:t>□詳細之血液數據</w:t>
      </w:r>
      <w:r w:rsidRPr="002D03E2">
        <w:rPr>
          <w:rFonts w:ascii="新細明體" w:hAnsi="新細明體" w:hint="eastAsia"/>
          <w:kern w:val="0"/>
        </w:rPr>
        <w:t>、</w:t>
      </w:r>
      <w:r w:rsidRPr="002D03E2">
        <w:rPr>
          <w:rFonts w:ascii="標楷體" w:eastAsia="標楷體" w:hAnsi="標楷體" w:hint="eastAsia"/>
          <w:kern w:val="0"/>
        </w:rPr>
        <w:t>生</w:t>
      </w:r>
      <w:r w:rsidRPr="002D03E2">
        <w:rPr>
          <w:rFonts w:eastAsia="標楷體" w:hAnsi="標楷體"/>
          <w:kern w:val="0"/>
        </w:rPr>
        <w:t>化數據</w:t>
      </w:r>
      <w:r w:rsidRPr="002D03E2">
        <w:rPr>
          <w:rFonts w:hAnsi="新細明體"/>
          <w:kern w:val="0"/>
        </w:rPr>
        <w:t>、</w:t>
      </w:r>
      <w:proofErr w:type="spellStart"/>
      <w:r w:rsidRPr="002D03E2">
        <w:rPr>
          <w:rFonts w:eastAsia="標楷體"/>
          <w:kern w:val="0"/>
        </w:rPr>
        <w:t>Coombs</w:t>
      </w:r>
      <w:proofErr w:type="gramStart"/>
      <w:r w:rsidRPr="002D03E2">
        <w:rPr>
          <w:rFonts w:eastAsia="標楷體"/>
          <w:kern w:val="0"/>
        </w:rPr>
        <w:t>’</w:t>
      </w:r>
      <w:proofErr w:type="spellEnd"/>
      <w:proofErr w:type="gramEnd"/>
      <w:r w:rsidRPr="002D03E2">
        <w:rPr>
          <w:rFonts w:eastAsia="標楷體"/>
          <w:kern w:val="0"/>
        </w:rPr>
        <w:t xml:space="preserve"> tests</w:t>
      </w:r>
      <w:r w:rsidRPr="002D03E2">
        <w:rPr>
          <w:rFonts w:eastAsia="標楷體" w:hAnsi="標楷體"/>
          <w:kern w:val="0"/>
        </w:rPr>
        <w:t>足以</w:t>
      </w:r>
      <w:r w:rsidRPr="002D03E2">
        <w:rPr>
          <w:rFonts w:ascii="標楷體" w:eastAsia="標楷體" w:hAnsi="標楷體" w:hint="eastAsia"/>
          <w:kern w:val="0"/>
        </w:rPr>
        <w:t>證明非免疫性之血管內溶血</w:t>
      </w:r>
      <w:r w:rsidRPr="002D03E2">
        <w:rPr>
          <w:rFonts w:eastAsia="標楷體" w:hint="eastAsia"/>
        </w:rPr>
        <w:t>(</w:t>
      </w:r>
      <w:r w:rsidRPr="002D03E2">
        <w:rPr>
          <w:rFonts w:eastAsia="標楷體" w:hint="eastAsia"/>
        </w:rPr>
        <w:t>必要</w:t>
      </w:r>
      <w:r w:rsidRPr="002D03E2">
        <w:rPr>
          <w:rFonts w:eastAsia="標楷體" w:hint="eastAsia"/>
        </w:rPr>
        <w:t>)</w:t>
      </w:r>
    </w:p>
    <w:p w14:paraId="7B46BCBD" w14:textId="77777777" w:rsidR="00CC5CEA" w:rsidRPr="002D03E2" w:rsidRDefault="00CC5CEA" w:rsidP="00CC5CEA">
      <w:pPr>
        <w:numPr>
          <w:ilvl w:val="0"/>
          <w:numId w:val="7"/>
        </w:numPr>
        <w:rPr>
          <w:rFonts w:eastAsia="標楷體"/>
        </w:rPr>
      </w:pPr>
      <w:r w:rsidRPr="002D03E2">
        <w:rPr>
          <w:rFonts w:ascii="標楷體" w:eastAsia="標楷體" w:hAnsi="標楷體" w:hint="eastAsia"/>
          <w:kern w:val="0"/>
        </w:rPr>
        <w:t>□</w:t>
      </w:r>
      <w:r w:rsidRPr="002D03E2">
        <w:rPr>
          <w:rFonts w:eastAsia="標楷體"/>
          <w:kern w:val="0"/>
        </w:rPr>
        <w:t>Vitamin B12</w:t>
      </w:r>
      <w:r w:rsidRPr="002D03E2">
        <w:rPr>
          <w:rFonts w:hAnsi="新細明體"/>
          <w:kern w:val="0"/>
        </w:rPr>
        <w:t>、</w:t>
      </w:r>
      <w:r w:rsidRPr="002D03E2">
        <w:rPr>
          <w:rFonts w:eastAsia="標楷體"/>
          <w:kern w:val="0"/>
        </w:rPr>
        <w:t>folic acid</w:t>
      </w:r>
      <w:r w:rsidRPr="002D03E2">
        <w:rPr>
          <w:rFonts w:hAnsi="新細明體"/>
          <w:kern w:val="0"/>
        </w:rPr>
        <w:t>、</w:t>
      </w:r>
      <w:r w:rsidRPr="002D03E2">
        <w:rPr>
          <w:rFonts w:eastAsia="標楷體"/>
          <w:kern w:val="0"/>
        </w:rPr>
        <w:t>iron profile</w:t>
      </w:r>
      <w:r w:rsidRPr="002D03E2">
        <w:rPr>
          <w:rFonts w:eastAsia="標楷體" w:hAnsi="標楷體"/>
          <w:kern w:val="0"/>
        </w:rPr>
        <w:t>之數據</w:t>
      </w:r>
      <w:r w:rsidRPr="002D03E2">
        <w:rPr>
          <w:rFonts w:eastAsia="標楷體"/>
        </w:rPr>
        <w:t>(</w:t>
      </w:r>
      <w:r w:rsidRPr="002D03E2">
        <w:rPr>
          <w:rFonts w:eastAsia="標楷體"/>
        </w:rPr>
        <w:t>必要</w:t>
      </w:r>
      <w:r w:rsidRPr="002D03E2">
        <w:rPr>
          <w:rFonts w:eastAsia="標楷體"/>
        </w:rPr>
        <w:t>)</w:t>
      </w:r>
    </w:p>
    <w:p w14:paraId="63C3A874" w14:textId="77777777" w:rsidR="00CC5CEA" w:rsidRPr="002D03E2" w:rsidRDefault="00CC5CEA" w:rsidP="00CC5CEA">
      <w:pPr>
        <w:numPr>
          <w:ilvl w:val="0"/>
          <w:numId w:val="7"/>
        </w:numPr>
        <w:rPr>
          <w:rFonts w:eastAsia="標楷體"/>
          <w:kern w:val="0"/>
        </w:rPr>
      </w:pPr>
      <w:r w:rsidRPr="002D03E2">
        <w:rPr>
          <w:rFonts w:ascii="標楷體" w:eastAsia="標楷體" w:hAnsi="標楷體" w:hint="eastAsia"/>
          <w:kern w:val="0"/>
        </w:rPr>
        <w:t>□周邊血液流式細胞儀檢驗，證明</w:t>
      </w:r>
      <w:r w:rsidRPr="002D03E2">
        <w:rPr>
          <w:rFonts w:eastAsia="標楷體"/>
          <w:kern w:val="0"/>
        </w:rPr>
        <w:t>RBC</w:t>
      </w:r>
      <w:r w:rsidRPr="002D03E2">
        <w:rPr>
          <w:rFonts w:ascii="標楷體" w:eastAsia="標楷體" w:hAnsi="標楷體" w:hint="eastAsia"/>
          <w:kern w:val="0"/>
        </w:rPr>
        <w:t>、</w:t>
      </w:r>
      <w:r w:rsidRPr="002D03E2">
        <w:rPr>
          <w:rFonts w:eastAsia="標楷體"/>
          <w:kern w:val="0"/>
        </w:rPr>
        <w:t>granulocyte</w:t>
      </w:r>
      <w:r w:rsidRPr="002D03E2">
        <w:rPr>
          <w:rFonts w:eastAsia="標楷體" w:hint="eastAsia"/>
          <w:kern w:val="0"/>
          <w:sz w:val="22"/>
        </w:rPr>
        <w:t>與</w:t>
      </w:r>
      <w:r w:rsidRPr="002D03E2">
        <w:rPr>
          <w:rFonts w:eastAsia="標楷體" w:hint="eastAsia"/>
          <w:kern w:val="0"/>
          <w:sz w:val="22"/>
        </w:rPr>
        <w:t>m</w:t>
      </w:r>
      <w:r w:rsidRPr="002D03E2">
        <w:rPr>
          <w:rFonts w:eastAsia="標楷體"/>
          <w:kern w:val="0"/>
          <w:sz w:val="22"/>
        </w:rPr>
        <w:t>onocyte</w:t>
      </w:r>
      <w:r w:rsidRPr="002D03E2">
        <w:rPr>
          <w:rFonts w:eastAsia="標楷體" w:hAnsi="標楷體"/>
          <w:kern w:val="0"/>
        </w:rPr>
        <w:t>之</w:t>
      </w:r>
      <w:r w:rsidRPr="002D03E2">
        <w:rPr>
          <w:rFonts w:eastAsia="標楷體"/>
          <w:kern w:val="0"/>
        </w:rPr>
        <w:t>PNH clone size</w:t>
      </w:r>
      <w:r w:rsidRPr="002D03E2">
        <w:rPr>
          <w:rFonts w:eastAsia="標楷體"/>
          <w:kern w:val="0"/>
          <w:sz w:val="22"/>
        </w:rPr>
        <w:t xml:space="preserve"> (</w:t>
      </w:r>
      <w:r w:rsidRPr="002D03E2">
        <w:rPr>
          <w:rFonts w:eastAsia="標楷體"/>
          <w:kern w:val="0"/>
          <w:sz w:val="22"/>
        </w:rPr>
        <w:t>請附圖</w:t>
      </w:r>
      <w:r w:rsidRPr="002D03E2">
        <w:rPr>
          <w:rFonts w:eastAsia="標楷體" w:hint="eastAsia"/>
          <w:kern w:val="0"/>
          <w:sz w:val="22"/>
        </w:rPr>
        <w:t>)</w:t>
      </w:r>
      <w:r w:rsidRPr="002D03E2">
        <w:rPr>
          <w:rFonts w:eastAsia="標楷體"/>
        </w:rPr>
        <w:t xml:space="preserve"> (</w:t>
      </w:r>
      <w:r w:rsidRPr="002D03E2">
        <w:rPr>
          <w:rFonts w:eastAsia="標楷體"/>
        </w:rPr>
        <w:t>必要</w:t>
      </w:r>
      <w:r w:rsidRPr="002D03E2">
        <w:rPr>
          <w:rFonts w:eastAsia="標楷體"/>
        </w:rPr>
        <w:t>)</w:t>
      </w:r>
    </w:p>
    <w:p w14:paraId="6422457A" w14:textId="77777777" w:rsidR="00CC5CEA" w:rsidRPr="002D03E2" w:rsidRDefault="00CC5CEA" w:rsidP="00CC5CEA">
      <w:pPr>
        <w:numPr>
          <w:ilvl w:val="0"/>
          <w:numId w:val="7"/>
        </w:numPr>
        <w:rPr>
          <w:rFonts w:eastAsia="標楷體"/>
        </w:rPr>
      </w:pPr>
      <w:r w:rsidRPr="002D03E2">
        <w:rPr>
          <w:rFonts w:ascii="標楷體" w:eastAsia="標楷體" w:hAnsi="標楷體" w:hint="eastAsia"/>
          <w:kern w:val="0"/>
        </w:rPr>
        <w:t>□半年內之輸血紀錄(必要)</w:t>
      </w:r>
    </w:p>
    <w:p w14:paraId="11D04346" w14:textId="77777777" w:rsidR="00CC5CEA" w:rsidRPr="002D03E2" w:rsidRDefault="00CC5CEA" w:rsidP="00CC5CEA">
      <w:pPr>
        <w:numPr>
          <w:ilvl w:val="0"/>
          <w:numId w:val="7"/>
        </w:numPr>
        <w:rPr>
          <w:rFonts w:eastAsia="標楷體"/>
        </w:rPr>
      </w:pPr>
      <w:r w:rsidRPr="002D03E2">
        <w:rPr>
          <w:rFonts w:ascii="標楷體" w:eastAsia="標楷體" w:hAnsi="標楷體" w:hint="eastAsia"/>
          <w:kern w:val="0"/>
        </w:rPr>
        <w:t>□有關血栓之影像及血液檢驗</w:t>
      </w:r>
    </w:p>
    <w:p w14:paraId="7DB181C2" w14:textId="77777777" w:rsidR="00CC5CEA" w:rsidRPr="002D03E2" w:rsidRDefault="00CC5CEA" w:rsidP="00CC5CEA">
      <w:pPr>
        <w:numPr>
          <w:ilvl w:val="0"/>
          <w:numId w:val="7"/>
        </w:numPr>
        <w:rPr>
          <w:rFonts w:eastAsia="標楷體"/>
        </w:rPr>
      </w:pPr>
      <w:r w:rsidRPr="002D03E2">
        <w:rPr>
          <w:rFonts w:ascii="標楷體" w:eastAsia="標楷體" w:hAnsi="標楷體" w:hint="eastAsia"/>
          <w:kern w:val="0"/>
        </w:rPr>
        <w:t>□心臟超音波或是心導管檢查</w:t>
      </w:r>
    </w:p>
    <w:p w14:paraId="1DCBEB8F" w14:textId="77777777" w:rsidR="00CC5CEA" w:rsidRPr="00331189" w:rsidRDefault="00CC5CEA" w:rsidP="00CC5CEA">
      <w:pPr>
        <w:numPr>
          <w:ilvl w:val="0"/>
          <w:numId w:val="7"/>
        </w:numPr>
        <w:rPr>
          <w:rFonts w:eastAsia="標楷體"/>
        </w:rPr>
      </w:pPr>
      <w:r w:rsidRPr="002D03E2">
        <w:rPr>
          <w:rFonts w:ascii="標楷體" w:eastAsia="標楷體" w:hAnsi="標楷體" w:hint="eastAsia"/>
          <w:kern w:val="0"/>
        </w:rPr>
        <w:t>□</w:t>
      </w:r>
      <w:r w:rsidRPr="002D03E2">
        <w:rPr>
          <w:rFonts w:ascii="標楷體" w:eastAsia="標楷體" w:hAnsi="標楷體"/>
          <w:bCs/>
          <w:kern w:val="0"/>
        </w:rPr>
        <w:t>有關腎功能不全之</w:t>
      </w:r>
      <w:r w:rsidRPr="00331189">
        <w:rPr>
          <w:rFonts w:ascii="標楷體" w:eastAsia="標楷體" w:hAnsi="標楷體"/>
          <w:bCs/>
          <w:kern w:val="0"/>
        </w:rPr>
        <w:t>血液檢驗</w:t>
      </w:r>
      <w:r w:rsidRPr="00331189">
        <w:rPr>
          <w:rFonts w:ascii="標楷體" w:eastAsia="標楷體" w:hAnsi="標楷體" w:hint="eastAsia"/>
          <w:bCs/>
          <w:kern w:val="0"/>
        </w:rPr>
        <w:t>及</w:t>
      </w:r>
      <w:r w:rsidRPr="00331189">
        <w:rPr>
          <w:rFonts w:ascii="標楷體" w:eastAsia="標楷體" w:hAnsi="標楷體"/>
          <w:bCs/>
          <w:kern w:val="0"/>
        </w:rPr>
        <w:t>影像</w:t>
      </w:r>
      <w:r w:rsidRPr="00331189">
        <w:rPr>
          <w:rFonts w:ascii="標楷體" w:eastAsia="標楷體" w:hAnsi="標楷體" w:hint="eastAsia"/>
          <w:bCs/>
          <w:kern w:val="0"/>
        </w:rPr>
        <w:t>或腎臟切片之病理報告</w:t>
      </w:r>
    </w:p>
    <w:p w14:paraId="33189EFF" w14:textId="77777777" w:rsidR="00CC5CEA" w:rsidRPr="002D03E2" w:rsidRDefault="00CC5CEA" w:rsidP="00CC5CEA">
      <w:pPr>
        <w:numPr>
          <w:ilvl w:val="0"/>
          <w:numId w:val="7"/>
        </w:numPr>
        <w:rPr>
          <w:rFonts w:eastAsia="標楷體"/>
        </w:rPr>
      </w:pPr>
      <w:r w:rsidRPr="002D03E2">
        <w:rPr>
          <w:rFonts w:ascii="標楷體" w:eastAsia="標楷體" w:hAnsi="標楷體" w:hint="eastAsia"/>
          <w:kern w:val="0"/>
        </w:rPr>
        <w:t>□基因檢測</w:t>
      </w:r>
    </w:p>
    <w:p w14:paraId="52987281" w14:textId="77777777" w:rsidR="00CC5CEA" w:rsidRPr="002D03E2" w:rsidRDefault="00CC5CEA" w:rsidP="00CC5CEA">
      <w:pPr>
        <w:numPr>
          <w:ilvl w:val="0"/>
          <w:numId w:val="7"/>
        </w:numPr>
        <w:rPr>
          <w:rFonts w:eastAsia="標楷體"/>
        </w:rPr>
      </w:pPr>
      <w:r w:rsidRPr="002D03E2">
        <w:rPr>
          <w:rFonts w:ascii="標楷體" w:eastAsia="標楷體" w:hAnsi="標楷體" w:hint="eastAsia"/>
          <w:kern w:val="0"/>
        </w:rPr>
        <w:t>□其他有必要之資料與說明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6187"/>
      </w:tblGrid>
      <w:tr w:rsidR="00CC5CEA" w:rsidRPr="002D03E2" w14:paraId="3F78413D" w14:textId="77777777" w:rsidTr="0017049A">
        <w:trPr>
          <w:trHeight w:val="541"/>
          <w:tblHeader/>
          <w:jc w:val="center"/>
        </w:trPr>
        <w:tc>
          <w:tcPr>
            <w:tcW w:w="3799" w:type="dxa"/>
            <w:vAlign w:val="center"/>
          </w:tcPr>
          <w:p w14:paraId="3D6D9ED9" w14:textId="77777777" w:rsidR="00CC5CEA" w:rsidRPr="002D03E2" w:rsidRDefault="00CC5CEA" w:rsidP="0017049A">
            <w:pPr>
              <w:jc w:val="center"/>
              <w:rPr>
                <w:rFonts w:eastAsia="標楷體"/>
                <w:b/>
              </w:rPr>
            </w:pPr>
            <w:r w:rsidRPr="002D03E2">
              <w:rPr>
                <w:rFonts w:eastAsia="標楷體"/>
                <w:b/>
              </w:rPr>
              <w:t>項目</w:t>
            </w:r>
          </w:p>
        </w:tc>
        <w:tc>
          <w:tcPr>
            <w:tcW w:w="6560" w:type="dxa"/>
            <w:vAlign w:val="center"/>
          </w:tcPr>
          <w:p w14:paraId="3173B875" w14:textId="77777777" w:rsidR="00CC5CEA" w:rsidRPr="002D03E2" w:rsidRDefault="00CC5CEA" w:rsidP="0017049A">
            <w:pPr>
              <w:jc w:val="center"/>
              <w:rPr>
                <w:rFonts w:eastAsia="標楷體"/>
                <w:b/>
              </w:rPr>
            </w:pPr>
            <w:r w:rsidRPr="002D03E2">
              <w:rPr>
                <w:rFonts w:eastAsia="標楷體"/>
                <w:b/>
              </w:rPr>
              <w:t>填寫部分</w:t>
            </w:r>
          </w:p>
        </w:tc>
      </w:tr>
      <w:tr w:rsidR="00CC5CEA" w:rsidRPr="002D03E2" w14:paraId="6F12A3DD" w14:textId="77777777" w:rsidTr="0017049A">
        <w:trPr>
          <w:trHeight w:val="1371"/>
          <w:jc w:val="center"/>
        </w:trPr>
        <w:tc>
          <w:tcPr>
            <w:tcW w:w="3799" w:type="dxa"/>
            <w:vAlign w:val="center"/>
          </w:tcPr>
          <w:p w14:paraId="036B87BF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2D03E2">
              <w:rPr>
                <w:rFonts w:eastAsia="標楷體"/>
                <w:kern w:val="0"/>
              </w:rPr>
              <w:t>病史</w:t>
            </w:r>
            <w:r w:rsidRPr="002D03E2">
              <w:rPr>
                <w:rFonts w:hAnsi="新細明體"/>
                <w:kern w:val="0"/>
              </w:rPr>
              <w:t>、</w:t>
            </w:r>
            <w:r w:rsidRPr="002D03E2">
              <w:rPr>
                <w:rFonts w:eastAsia="標楷體"/>
                <w:kern w:val="0"/>
              </w:rPr>
              <w:t>用藥史等</w:t>
            </w:r>
          </w:p>
          <w:p w14:paraId="4F4361E8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2D03E2">
              <w:rPr>
                <w:rFonts w:eastAsia="標楷體"/>
                <w:kern w:val="0"/>
              </w:rPr>
              <w:t>(History)</w:t>
            </w:r>
            <w:r w:rsidRPr="002D03E2">
              <w:rPr>
                <w:rFonts w:eastAsia="標楷體"/>
              </w:rPr>
              <w:t>(</w:t>
            </w:r>
            <w:r w:rsidRPr="002D03E2">
              <w:rPr>
                <w:rFonts w:eastAsia="標楷體"/>
              </w:rPr>
              <w:t>必要</w:t>
            </w:r>
            <w:r w:rsidRPr="002D03E2">
              <w:rPr>
                <w:rFonts w:eastAsia="標楷體"/>
              </w:rPr>
              <w:t>)</w:t>
            </w:r>
          </w:p>
        </w:tc>
        <w:tc>
          <w:tcPr>
            <w:tcW w:w="6560" w:type="dxa"/>
          </w:tcPr>
          <w:p w14:paraId="670FF1F9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D03E2">
              <w:rPr>
                <w:rFonts w:eastAsia="標楷體"/>
              </w:rPr>
              <w:t>症狀應包含</w:t>
            </w:r>
            <w:r w:rsidRPr="002D03E2">
              <w:rPr>
                <w:rFonts w:eastAsia="標楷體"/>
              </w:rPr>
              <w:t>Duration</w:t>
            </w:r>
            <w:r w:rsidRPr="002D03E2">
              <w:rPr>
                <w:rFonts w:hAnsi="新細明體"/>
              </w:rPr>
              <w:t>、</w:t>
            </w:r>
            <w:r w:rsidRPr="002D03E2">
              <w:rPr>
                <w:rFonts w:eastAsia="標楷體"/>
              </w:rPr>
              <w:t>Frequency</w:t>
            </w:r>
          </w:p>
          <w:p w14:paraId="69C2BE7D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C5CEA" w:rsidRPr="002D03E2" w14:paraId="3B82F746" w14:textId="77777777" w:rsidTr="0017049A">
        <w:trPr>
          <w:trHeight w:val="1371"/>
          <w:jc w:val="center"/>
        </w:trPr>
        <w:tc>
          <w:tcPr>
            <w:tcW w:w="3799" w:type="dxa"/>
            <w:vAlign w:val="center"/>
          </w:tcPr>
          <w:p w14:paraId="3925490D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2D03E2">
              <w:rPr>
                <w:rFonts w:eastAsia="標楷體"/>
                <w:kern w:val="0"/>
              </w:rPr>
              <w:t>至少半年內之輸血紀錄</w:t>
            </w:r>
          </w:p>
          <w:p w14:paraId="6670439F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2D03E2">
              <w:rPr>
                <w:rFonts w:eastAsia="標楷體"/>
                <w:kern w:val="0"/>
              </w:rPr>
              <w:t>(Transfusion history)</w:t>
            </w:r>
            <w:r w:rsidRPr="002D03E2">
              <w:rPr>
                <w:rFonts w:ascii="標楷體" w:eastAsia="標楷體" w:hAnsi="標楷體"/>
                <w:kern w:val="0"/>
              </w:rPr>
              <w:t>(必要)</w:t>
            </w:r>
          </w:p>
        </w:tc>
        <w:tc>
          <w:tcPr>
            <w:tcW w:w="6560" w:type="dxa"/>
          </w:tcPr>
          <w:p w14:paraId="7BDF2B09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C5CEA" w:rsidRPr="002D03E2" w14:paraId="2518B2C9" w14:textId="77777777" w:rsidTr="0017049A">
        <w:trPr>
          <w:trHeight w:val="1371"/>
          <w:jc w:val="center"/>
        </w:trPr>
        <w:tc>
          <w:tcPr>
            <w:tcW w:w="3799" w:type="dxa"/>
            <w:vAlign w:val="center"/>
          </w:tcPr>
          <w:p w14:paraId="2A550DC6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2D03E2">
              <w:rPr>
                <w:rFonts w:eastAsia="標楷體"/>
                <w:kern w:val="0"/>
              </w:rPr>
              <w:t>身體檢查</w:t>
            </w:r>
          </w:p>
          <w:p w14:paraId="1BFE3A80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2D03E2">
              <w:rPr>
                <w:rFonts w:eastAsia="標楷體"/>
                <w:kern w:val="0"/>
              </w:rPr>
              <w:t>(Physical examination)</w:t>
            </w:r>
            <w:r w:rsidRPr="002D03E2">
              <w:rPr>
                <w:rFonts w:eastAsia="標楷體"/>
              </w:rPr>
              <w:t>(</w:t>
            </w:r>
            <w:r w:rsidRPr="002D03E2">
              <w:rPr>
                <w:rFonts w:eastAsia="標楷體"/>
              </w:rPr>
              <w:t>必要</w:t>
            </w:r>
            <w:r w:rsidRPr="002D03E2">
              <w:rPr>
                <w:rFonts w:eastAsia="標楷體"/>
              </w:rPr>
              <w:t>)</w:t>
            </w:r>
          </w:p>
        </w:tc>
        <w:tc>
          <w:tcPr>
            <w:tcW w:w="6560" w:type="dxa"/>
          </w:tcPr>
          <w:p w14:paraId="0317049D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  <w:u w:val="single"/>
              </w:rPr>
            </w:pPr>
          </w:p>
        </w:tc>
      </w:tr>
      <w:tr w:rsidR="00CC5CEA" w:rsidRPr="002D03E2" w14:paraId="11685004" w14:textId="77777777" w:rsidTr="0017049A">
        <w:trPr>
          <w:trHeight w:val="1371"/>
          <w:jc w:val="center"/>
        </w:trPr>
        <w:tc>
          <w:tcPr>
            <w:tcW w:w="3799" w:type="dxa"/>
          </w:tcPr>
          <w:p w14:paraId="3F8F81E5" w14:textId="77777777" w:rsidR="00CC5CEA" w:rsidRPr="002D03E2" w:rsidRDefault="00CC5CEA" w:rsidP="0017049A">
            <w:pPr>
              <w:adjustRightInd w:val="0"/>
              <w:snapToGrid w:val="0"/>
              <w:rPr>
                <w:rFonts w:eastAsia="標楷體"/>
                <w:kern w:val="0"/>
              </w:rPr>
            </w:pPr>
            <w:r w:rsidRPr="002D03E2">
              <w:rPr>
                <w:rFonts w:eastAsia="標楷體"/>
                <w:kern w:val="0"/>
              </w:rPr>
              <w:t>骨髓切片病理報告</w:t>
            </w:r>
            <w:r w:rsidRPr="002D03E2">
              <w:rPr>
                <w:rFonts w:hAnsi="新細明體"/>
                <w:kern w:val="0"/>
              </w:rPr>
              <w:t>、</w:t>
            </w:r>
            <w:r w:rsidRPr="002D03E2">
              <w:rPr>
                <w:rFonts w:eastAsia="標楷體"/>
                <w:kern w:val="0"/>
              </w:rPr>
              <w:t>抹片報告與</w:t>
            </w:r>
            <w:r w:rsidRPr="002D03E2">
              <w:rPr>
                <w:rFonts w:eastAsia="標楷體" w:hAnsi="標楷體"/>
                <w:kern w:val="0"/>
              </w:rPr>
              <w:t>骨髓細胞之染色體報告</w:t>
            </w:r>
            <w:r w:rsidRPr="002D03E2">
              <w:rPr>
                <w:rFonts w:eastAsia="標楷體"/>
                <w:kern w:val="0"/>
              </w:rPr>
              <w:t>(Bone marrow smear, pathology, and cytogenetics)</w:t>
            </w:r>
            <w:r w:rsidRPr="002D03E2">
              <w:rPr>
                <w:rFonts w:eastAsia="標楷體"/>
              </w:rPr>
              <w:t>(</w:t>
            </w:r>
            <w:r w:rsidRPr="002D03E2">
              <w:rPr>
                <w:rFonts w:eastAsia="標楷體"/>
              </w:rPr>
              <w:t>必要</w:t>
            </w:r>
            <w:r w:rsidRPr="002D03E2">
              <w:rPr>
                <w:rFonts w:eastAsia="標楷體"/>
              </w:rPr>
              <w:t>)</w:t>
            </w:r>
          </w:p>
        </w:tc>
        <w:tc>
          <w:tcPr>
            <w:tcW w:w="6560" w:type="dxa"/>
          </w:tcPr>
          <w:p w14:paraId="7F76F37F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C5CEA" w:rsidRPr="002D03E2" w14:paraId="41969220" w14:textId="77777777" w:rsidTr="0017049A">
        <w:trPr>
          <w:trHeight w:val="1371"/>
          <w:jc w:val="center"/>
        </w:trPr>
        <w:tc>
          <w:tcPr>
            <w:tcW w:w="3799" w:type="dxa"/>
          </w:tcPr>
          <w:p w14:paraId="69D26D1C" w14:textId="77777777" w:rsidR="00CC5CEA" w:rsidRPr="002D03E2" w:rsidRDefault="00CC5CEA" w:rsidP="0017049A">
            <w:pPr>
              <w:adjustRightInd w:val="0"/>
              <w:snapToGrid w:val="0"/>
              <w:rPr>
                <w:rFonts w:eastAsia="標楷體"/>
                <w:kern w:val="0"/>
              </w:rPr>
            </w:pPr>
            <w:r w:rsidRPr="002D03E2">
              <w:rPr>
                <w:rFonts w:eastAsia="標楷體" w:hAnsi="標楷體"/>
                <w:kern w:val="0"/>
              </w:rPr>
              <w:t>周邊血液流式細胞儀檢驗</w:t>
            </w:r>
            <w:r w:rsidRPr="002D03E2">
              <w:rPr>
                <w:rFonts w:eastAsia="標楷體"/>
                <w:kern w:val="0"/>
              </w:rPr>
              <w:t>for PNH clones (</w:t>
            </w:r>
            <w:r w:rsidRPr="002D03E2">
              <w:rPr>
                <w:rFonts w:eastAsia="標楷體"/>
                <w:kern w:val="0"/>
              </w:rPr>
              <w:t>包括</w:t>
            </w:r>
            <w:r w:rsidRPr="002D03E2">
              <w:rPr>
                <w:rFonts w:eastAsia="標楷體"/>
                <w:kern w:val="0"/>
              </w:rPr>
              <w:t>RBC, granulocytes and monocyte</w:t>
            </w:r>
            <w:r w:rsidRPr="002D03E2">
              <w:rPr>
                <w:rFonts w:eastAsia="標楷體"/>
                <w:kern w:val="0"/>
              </w:rPr>
              <w:t>，請附圖</w:t>
            </w:r>
            <w:r w:rsidRPr="002D03E2">
              <w:rPr>
                <w:rFonts w:eastAsia="標楷體"/>
                <w:kern w:val="0"/>
              </w:rPr>
              <w:t>)</w:t>
            </w:r>
            <w:r w:rsidRPr="002D03E2">
              <w:rPr>
                <w:rFonts w:eastAsia="標楷體"/>
              </w:rPr>
              <w:t>(</w:t>
            </w:r>
            <w:r w:rsidRPr="002D03E2">
              <w:rPr>
                <w:rFonts w:eastAsia="標楷體"/>
              </w:rPr>
              <w:t>必要</w:t>
            </w:r>
            <w:r w:rsidRPr="002D03E2">
              <w:rPr>
                <w:rFonts w:eastAsia="標楷體"/>
              </w:rPr>
              <w:t>)</w:t>
            </w:r>
          </w:p>
        </w:tc>
        <w:tc>
          <w:tcPr>
            <w:tcW w:w="6560" w:type="dxa"/>
          </w:tcPr>
          <w:p w14:paraId="48B0CC33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C5CEA" w:rsidRPr="002D03E2" w14:paraId="36079CDA" w14:textId="77777777" w:rsidTr="0017049A">
        <w:trPr>
          <w:cantSplit/>
          <w:trHeight w:val="793"/>
          <w:jc w:val="center"/>
        </w:trPr>
        <w:tc>
          <w:tcPr>
            <w:tcW w:w="3799" w:type="dxa"/>
          </w:tcPr>
          <w:p w14:paraId="4870A80C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2D03E2">
              <w:rPr>
                <w:rFonts w:eastAsia="標楷體"/>
                <w:kern w:val="0"/>
              </w:rPr>
              <w:lastRenderedPageBreak/>
              <w:t>實驗室數據</w:t>
            </w:r>
          </w:p>
          <w:p w14:paraId="24EBA6B5" w14:textId="77777777" w:rsidR="00CC5CEA" w:rsidRPr="002D03E2" w:rsidRDefault="00CC5CEA" w:rsidP="0017049A">
            <w:pPr>
              <w:adjustRightInd w:val="0"/>
              <w:snapToGrid w:val="0"/>
              <w:rPr>
                <w:rFonts w:eastAsia="標楷體"/>
                <w:kern w:val="0"/>
              </w:rPr>
            </w:pPr>
            <w:r w:rsidRPr="002D03E2">
              <w:rPr>
                <w:rFonts w:eastAsia="標楷體"/>
                <w:kern w:val="0"/>
              </w:rPr>
              <w:t xml:space="preserve">(Lab data, including </w:t>
            </w:r>
            <w:r w:rsidRPr="002D03E2">
              <w:rPr>
                <w:rFonts w:eastAsia="標楷體" w:hint="eastAsia"/>
                <w:kern w:val="0"/>
              </w:rPr>
              <w:t>輸血前</w:t>
            </w:r>
            <w:r w:rsidRPr="002D03E2">
              <w:rPr>
                <w:rFonts w:eastAsia="標楷體"/>
                <w:kern w:val="0"/>
              </w:rPr>
              <w:t xml:space="preserve">CBC, D/C, LDH, liver functions, renal functions, </w:t>
            </w:r>
            <w:proofErr w:type="spellStart"/>
            <w:r w:rsidRPr="002D03E2">
              <w:rPr>
                <w:rFonts w:eastAsia="標楷體"/>
                <w:kern w:val="0"/>
              </w:rPr>
              <w:t>Coombs</w:t>
            </w:r>
            <w:proofErr w:type="gramStart"/>
            <w:r w:rsidRPr="002D03E2">
              <w:rPr>
                <w:rFonts w:eastAsia="標楷體"/>
                <w:kern w:val="0"/>
              </w:rPr>
              <w:t>’</w:t>
            </w:r>
            <w:proofErr w:type="spellEnd"/>
            <w:proofErr w:type="gramEnd"/>
            <w:r w:rsidRPr="002D03E2">
              <w:rPr>
                <w:rFonts w:eastAsia="標楷體"/>
                <w:kern w:val="0"/>
              </w:rPr>
              <w:t xml:space="preserve"> tests, reticulocytes, haptoglobin, Vitamin B12, folic acid, ferritin, TIBC, serum iron, </w:t>
            </w:r>
            <w:proofErr w:type="spellStart"/>
            <w:r w:rsidRPr="002D03E2">
              <w:rPr>
                <w:rFonts w:eastAsia="標楷體"/>
                <w:kern w:val="0"/>
              </w:rPr>
              <w:t>etc</w:t>
            </w:r>
            <w:proofErr w:type="spellEnd"/>
            <w:r w:rsidRPr="002D03E2">
              <w:rPr>
                <w:rFonts w:eastAsia="標楷體"/>
                <w:kern w:val="0"/>
              </w:rPr>
              <w:t>)</w:t>
            </w:r>
            <w:r w:rsidRPr="002D03E2">
              <w:rPr>
                <w:rFonts w:eastAsia="標楷體"/>
              </w:rPr>
              <w:t>(</w:t>
            </w:r>
            <w:r w:rsidRPr="002D03E2">
              <w:rPr>
                <w:rFonts w:eastAsia="標楷體"/>
              </w:rPr>
              <w:t>必要</w:t>
            </w:r>
            <w:r w:rsidRPr="002D03E2">
              <w:rPr>
                <w:rFonts w:eastAsia="標楷體"/>
              </w:rPr>
              <w:t>)</w:t>
            </w:r>
          </w:p>
        </w:tc>
        <w:tc>
          <w:tcPr>
            <w:tcW w:w="6560" w:type="dxa"/>
          </w:tcPr>
          <w:p w14:paraId="7F673921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C5CEA" w:rsidRPr="002D03E2" w14:paraId="5810BBFB" w14:textId="77777777" w:rsidTr="0017049A">
        <w:trPr>
          <w:trHeight w:val="1213"/>
          <w:jc w:val="center"/>
        </w:trPr>
        <w:tc>
          <w:tcPr>
            <w:tcW w:w="3799" w:type="dxa"/>
          </w:tcPr>
          <w:p w14:paraId="5D192665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2D03E2">
              <w:rPr>
                <w:rFonts w:eastAsia="標楷體" w:hAnsi="標楷體"/>
                <w:kern w:val="0"/>
              </w:rPr>
              <w:t>有關血栓之影像及血液檢驗</w:t>
            </w:r>
          </w:p>
          <w:p w14:paraId="28E2CA4F" w14:textId="77777777" w:rsidR="00CC5CEA" w:rsidRPr="002D03E2" w:rsidRDefault="00CC5CEA" w:rsidP="0017049A">
            <w:pPr>
              <w:adjustRightInd w:val="0"/>
              <w:snapToGrid w:val="0"/>
              <w:rPr>
                <w:rFonts w:eastAsia="標楷體"/>
                <w:kern w:val="0"/>
              </w:rPr>
            </w:pPr>
            <w:r w:rsidRPr="002D03E2">
              <w:rPr>
                <w:rFonts w:eastAsia="標楷體"/>
                <w:kern w:val="0"/>
              </w:rPr>
              <w:t xml:space="preserve">(Thrombosis; sonography, CT, MRI, D dimer, protein C, protein S, </w:t>
            </w:r>
            <w:proofErr w:type="spellStart"/>
            <w:r w:rsidRPr="002D03E2">
              <w:rPr>
                <w:rFonts w:eastAsia="標楷體"/>
                <w:kern w:val="0"/>
              </w:rPr>
              <w:t>etc</w:t>
            </w:r>
            <w:proofErr w:type="spellEnd"/>
            <w:r w:rsidRPr="002D03E2">
              <w:rPr>
                <w:rFonts w:eastAsia="標楷體"/>
                <w:kern w:val="0"/>
              </w:rPr>
              <w:t>)</w:t>
            </w:r>
          </w:p>
        </w:tc>
        <w:tc>
          <w:tcPr>
            <w:tcW w:w="6560" w:type="dxa"/>
          </w:tcPr>
          <w:p w14:paraId="1F77F578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C5CEA" w:rsidRPr="002D03E2" w14:paraId="15F10F12" w14:textId="77777777" w:rsidTr="0017049A">
        <w:trPr>
          <w:trHeight w:val="1213"/>
          <w:jc w:val="center"/>
        </w:trPr>
        <w:tc>
          <w:tcPr>
            <w:tcW w:w="3799" w:type="dxa"/>
            <w:vAlign w:val="center"/>
          </w:tcPr>
          <w:p w14:paraId="15087FA7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2D03E2">
              <w:rPr>
                <w:rFonts w:eastAsia="標楷體" w:hAnsi="標楷體"/>
                <w:kern w:val="0"/>
              </w:rPr>
              <w:t>心臟超音波或是心導管檢查</w:t>
            </w:r>
          </w:p>
          <w:p w14:paraId="0215D9A0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2D03E2">
              <w:rPr>
                <w:rFonts w:eastAsia="標楷體"/>
                <w:kern w:val="0"/>
              </w:rPr>
              <w:t>(cardiopulmonary exams)</w:t>
            </w:r>
          </w:p>
        </w:tc>
        <w:tc>
          <w:tcPr>
            <w:tcW w:w="6560" w:type="dxa"/>
          </w:tcPr>
          <w:p w14:paraId="1B4A8C32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C5CEA" w:rsidRPr="002D03E2" w14:paraId="5F9197D9" w14:textId="77777777" w:rsidTr="0017049A">
        <w:trPr>
          <w:trHeight w:val="1213"/>
          <w:jc w:val="center"/>
        </w:trPr>
        <w:tc>
          <w:tcPr>
            <w:tcW w:w="3799" w:type="dxa"/>
          </w:tcPr>
          <w:p w14:paraId="5BDBD2CB" w14:textId="77777777" w:rsidR="00CC5CEA" w:rsidRPr="002D03E2" w:rsidRDefault="00CC5CEA" w:rsidP="0017049A">
            <w:pPr>
              <w:adjustRightInd w:val="0"/>
              <w:snapToGrid w:val="0"/>
              <w:rPr>
                <w:rFonts w:eastAsia="標楷體" w:hAnsi="標楷體"/>
                <w:bCs/>
                <w:kern w:val="0"/>
                <w:u w:val="single"/>
              </w:rPr>
            </w:pPr>
            <w:r w:rsidRPr="002D03E2">
              <w:rPr>
                <w:rFonts w:eastAsia="標楷體" w:hAnsi="標楷體"/>
                <w:bCs/>
                <w:kern w:val="0"/>
              </w:rPr>
              <w:t>有關腎功能不全之</w:t>
            </w:r>
            <w:r w:rsidRPr="00331189">
              <w:rPr>
                <w:rFonts w:eastAsia="標楷體" w:hAnsi="標楷體"/>
                <w:bCs/>
                <w:kern w:val="0"/>
              </w:rPr>
              <w:t>血液檢驗</w:t>
            </w:r>
            <w:r w:rsidRPr="00331189">
              <w:rPr>
                <w:rFonts w:eastAsia="標楷體" w:hAnsi="標楷體" w:hint="eastAsia"/>
                <w:bCs/>
                <w:kern w:val="0"/>
              </w:rPr>
              <w:t>及</w:t>
            </w:r>
            <w:r w:rsidRPr="00331189">
              <w:rPr>
                <w:rFonts w:eastAsia="標楷體" w:hAnsi="標楷體"/>
                <w:bCs/>
                <w:kern w:val="0"/>
              </w:rPr>
              <w:t>影像</w:t>
            </w:r>
            <w:r w:rsidRPr="00331189">
              <w:rPr>
                <w:rFonts w:eastAsia="標楷體" w:hAnsi="標楷體" w:hint="eastAsia"/>
                <w:bCs/>
                <w:kern w:val="0"/>
              </w:rPr>
              <w:t>或腎臟切片之病理報告</w:t>
            </w:r>
          </w:p>
          <w:p w14:paraId="1B32AADD" w14:textId="77777777" w:rsidR="00CC5CEA" w:rsidRPr="002D03E2" w:rsidRDefault="00CC5CEA" w:rsidP="0017049A">
            <w:pPr>
              <w:adjustRightInd w:val="0"/>
              <w:snapToGrid w:val="0"/>
              <w:rPr>
                <w:rFonts w:eastAsia="標楷體"/>
                <w:kern w:val="0"/>
              </w:rPr>
            </w:pPr>
            <w:r w:rsidRPr="002D03E2">
              <w:rPr>
                <w:rFonts w:eastAsia="標楷體"/>
                <w:kern w:val="0"/>
              </w:rPr>
              <w:t>(Renal function tests, to rule out other causes)</w:t>
            </w:r>
          </w:p>
        </w:tc>
        <w:tc>
          <w:tcPr>
            <w:tcW w:w="6560" w:type="dxa"/>
          </w:tcPr>
          <w:p w14:paraId="01D19018" w14:textId="77777777" w:rsidR="00CC5CEA" w:rsidRPr="002D03E2" w:rsidRDefault="00CC5CEA" w:rsidP="0017049A">
            <w:pPr>
              <w:jc w:val="both"/>
              <w:rPr>
                <w:rFonts w:eastAsia="標楷體"/>
              </w:rPr>
            </w:pPr>
          </w:p>
        </w:tc>
      </w:tr>
      <w:tr w:rsidR="00CC5CEA" w:rsidRPr="002D03E2" w14:paraId="4F6AA543" w14:textId="77777777" w:rsidTr="00CC5CEA">
        <w:trPr>
          <w:trHeight w:val="1046"/>
          <w:jc w:val="center"/>
        </w:trPr>
        <w:tc>
          <w:tcPr>
            <w:tcW w:w="3799" w:type="dxa"/>
            <w:vAlign w:val="center"/>
          </w:tcPr>
          <w:p w14:paraId="6F7B4356" w14:textId="77777777" w:rsidR="00CC5CEA" w:rsidRPr="002D03E2" w:rsidRDefault="00CC5CEA" w:rsidP="00CC5CEA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2D03E2">
              <w:rPr>
                <w:rFonts w:eastAsia="標楷體" w:hint="eastAsia"/>
                <w:kern w:val="0"/>
              </w:rPr>
              <w:t>基因檢測</w:t>
            </w:r>
          </w:p>
        </w:tc>
        <w:tc>
          <w:tcPr>
            <w:tcW w:w="6560" w:type="dxa"/>
            <w:vAlign w:val="center"/>
          </w:tcPr>
          <w:p w14:paraId="66D33379" w14:textId="77777777" w:rsidR="00CC5CEA" w:rsidRPr="002D03E2" w:rsidRDefault="00CC5CEA" w:rsidP="00CC5CEA">
            <w:pPr>
              <w:jc w:val="both"/>
              <w:rPr>
                <w:rFonts w:eastAsia="標楷體"/>
              </w:rPr>
            </w:pPr>
            <w:r w:rsidRPr="002D03E2">
              <w:rPr>
                <w:rFonts w:eastAsia="標楷體" w:hint="eastAsia"/>
                <w:kern w:val="0"/>
              </w:rPr>
              <w:t>□</w:t>
            </w:r>
            <w:r w:rsidRPr="002D03E2">
              <w:rPr>
                <w:rFonts w:eastAsia="標楷體" w:hint="eastAsia"/>
                <w:kern w:val="0"/>
              </w:rPr>
              <w:t>PIG-A</w:t>
            </w:r>
            <w:r w:rsidRPr="002D03E2">
              <w:rPr>
                <w:rFonts w:eastAsia="標楷體" w:hint="eastAsia"/>
                <w:kern w:val="0"/>
              </w:rPr>
              <w:t>基因</w:t>
            </w:r>
            <w:r w:rsidRPr="002D03E2">
              <w:rPr>
                <w:rFonts w:eastAsia="標楷體" w:hint="eastAsia"/>
                <w:kern w:val="0"/>
              </w:rPr>
              <w:t xml:space="preserve">        </w:t>
            </w:r>
            <w:r w:rsidRPr="002D03E2">
              <w:rPr>
                <w:rFonts w:eastAsia="標楷體" w:hint="eastAsia"/>
                <w:kern w:val="0"/>
              </w:rPr>
              <w:t>□其他</w:t>
            </w:r>
            <w:r w:rsidRPr="002D03E2">
              <w:rPr>
                <w:rFonts w:eastAsia="標楷體" w:hint="eastAsia"/>
                <w:kern w:val="0"/>
              </w:rPr>
              <w:t xml:space="preserve">          </w:t>
            </w:r>
          </w:p>
        </w:tc>
      </w:tr>
      <w:tr w:rsidR="00CC5CEA" w:rsidRPr="002D03E2" w14:paraId="64B546DB" w14:textId="77777777" w:rsidTr="0017049A">
        <w:trPr>
          <w:trHeight w:val="1142"/>
          <w:jc w:val="center"/>
        </w:trPr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4952E24B" w14:textId="77777777" w:rsidR="00CC5CEA" w:rsidRPr="002D03E2" w:rsidRDefault="00CC5CEA" w:rsidP="0017049A">
            <w:pPr>
              <w:adjustRightInd w:val="0"/>
              <w:snapToGrid w:val="0"/>
              <w:jc w:val="both"/>
              <w:rPr>
                <w:rFonts w:eastAsia="標楷體" w:hAnsi="標楷體"/>
                <w:kern w:val="0"/>
              </w:rPr>
            </w:pPr>
            <w:r w:rsidRPr="002D03E2">
              <w:rPr>
                <w:rFonts w:eastAsia="標楷體" w:hAnsi="標楷體"/>
                <w:kern w:val="0"/>
              </w:rPr>
              <w:t>其他有必要之資料與說明</w:t>
            </w:r>
            <w:r w:rsidRPr="002D03E2">
              <w:rPr>
                <w:rFonts w:eastAsia="標楷體"/>
                <w:kern w:val="0"/>
              </w:rPr>
              <w:t>(Others)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14:paraId="0BC020C1" w14:textId="77777777" w:rsidR="00CC5CEA" w:rsidRPr="002D03E2" w:rsidRDefault="00CC5CEA" w:rsidP="0017049A">
            <w:pPr>
              <w:jc w:val="both"/>
              <w:rPr>
                <w:rFonts w:eastAsia="標楷體"/>
              </w:rPr>
            </w:pPr>
          </w:p>
        </w:tc>
      </w:tr>
    </w:tbl>
    <w:p w14:paraId="196C28FC" w14:textId="77777777" w:rsidR="00CC5CEA" w:rsidRPr="002D03E2" w:rsidRDefault="00CC5CEA" w:rsidP="00CC5CEA">
      <w:pPr>
        <w:widowControl/>
        <w:snapToGrid w:val="0"/>
        <w:spacing w:afterLines="50" w:after="180"/>
        <w:rPr>
          <w:rFonts w:eastAsia="標楷體"/>
          <w:sz w:val="36"/>
          <w:szCs w:val="36"/>
        </w:rPr>
      </w:pPr>
    </w:p>
    <w:p w14:paraId="6FFB951B" w14:textId="77777777" w:rsidR="00AC1F12" w:rsidRPr="00316D16" w:rsidRDefault="00CC5CEA" w:rsidP="00AC1F12">
      <w:pPr>
        <w:widowControl/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kern w:val="0"/>
          <w:sz w:val="32"/>
          <w:szCs w:val="32"/>
        </w:rPr>
        <w:br w:type="page"/>
      </w:r>
      <w:r w:rsidR="00AC1F12" w:rsidRPr="00316D16">
        <w:rPr>
          <w:rFonts w:eastAsia="標楷體"/>
          <w:b/>
          <w:noProof/>
          <w:sz w:val="28"/>
          <w:szCs w:val="28"/>
        </w:rPr>
        <w:lastRenderedPageBreak/>
        <w:t>衛生福利部國民健康署「罕見疾病個案通報審查</w:t>
      </w:r>
      <w:r w:rsidR="00AC1F12" w:rsidRPr="00316D16">
        <w:rPr>
          <w:rFonts w:eastAsia="標楷體" w:hint="eastAsia"/>
          <w:b/>
          <w:noProof/>
          <w:sz w:val="28"/>
          <w:szCs w:val="28"/>
        </w:rPr>
        <w:t>基</w:t>
      </w:r>
      <w:r w:rsidR="00AC1F12" w:rsidRPr="00316D16">
        <w:rPr>
          <w:rFonts w:eastAsia="標楷體"/>
          <w:b/>
          <w:noProof/>
          <w:sz w:val="28"/>
          <w:szCs w:val="28"/>
        </w:rPr>
        <w:t>準機制」</w:t>
      </w:r>
      <w:r w:rsidR="00AC1F12" w:rsidRPr="00316D16">
        <w:rPr>
          <w:rFonts w:eastAsia="標楷體"/>
          <w:b/>
          <w:noProof/>
          <w:sz w:val="28"/>
          <w:szCs w:val="28"/>
        </w:rPr>
        <w:t>(</w:t>
      </w:r>
      <w:r w:rsidR="00AC1F12" w:rsidRPr="00316D16">
        <w:rPr>
          <w:rFonts w:eastAsia="標楷體"/>
          <w:b/>
          <w:noProof/>
          <w:sz w:val="28"/>
          <w:szCs w:val="28"/>
        </w:rPr>
        <w:t>審查基準表</w:t>
      </w:r>
      <w:r w:rsidR="00AC1F12" w:rsidRPr="00316D16">
        <w:rPr>
          <w:rFonts w:eastAsia="標楷體"/>
          <w:b/>
          <w:noProof/>
          <w:sz w:val="28"/>
          <w:szCs w:val="28"/>
        </w:rPr>
        <w:t>)</w:t>
      </w:r>
    </w:p>
    <w:p w14:paraId="21942ED9" w14:textId="77777777" w:rsidR="00AC1F12" w:rsidRPr="00316D16" w:rsidRDefault="00AC1F12" w:rsidP="00AC1F12">
      <w:pPr>
        <w:spacing w:line="400" w:lineRule="exact"/>
        <w:jc w:val="center"/>
        <w:rPr>
          <w:rFonts w:ascii="Cambria" w:eastAsia="標楷體" w:hAnsi="Cambria"/>
          <w:color w:val="000000"/>
          <w:sz w:val="28"/>
          <w:szCs w:val="28"/>
        </w:rPr>
      </w:pPr>
      <w:r w:rsidRPr="00316D16">
        <w:rPr>
          <w:rFonts w:eastAsia="標楷體"/>
          <w:b/>
          <w:color w:val="000000"/>
          <w:sz w:val="28"/>
          <w:szCs w:val="28"/>
        </w:rPr>
        <w:t>-</w:t>
      </w:r>
      <w:r w:rsidRPr="00316D16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陣發性夜間血紅素尿症</w:t>
      </w:r>
      <w:r w:rsidRPr="00316D16">
        <w:rPr>
          <w:rFonts w:eastAsia="標楷體"/>
          <w:b/>
          <w:color w:val="000000"/>
          <w:sz w:val="28"/>
          <w:szCs w:val="28"/>
        </w:rPr>
        <w:t>[Paroxysmal nocturnal hemoglobinuria, PNH]-</w:t>
      </w:r>
    </w:p>
    <w:p w14:paraId="4CD60AA1" w14:textId="77777777" w:rsidR="00AC1F12" w:rsidRPr="00946CB8" w:rsidRDefault="00AC1F12" w:rsidP="00AC1F12">
      <w:pPr>
        <w:snapToGrid w:val="0"/>
        <w:jc w:val="center"/>
        <w:rPr>
          <w:rFonts w:eastAsia="標楷體"/>
          <w:color w:val="000000"/>
          <w:sz w:val="28"/>
        </w:rPr>
      </w:pPr>
      <w:r>
        <w:rPr>
          <w:noProof/>
          <w:color w:val="000000"/>
        </w:rPr>
        <w:pict w14:anchorId="4B395147">
          <v:rect id="矩形 2" o:spid="_x0000_s1130" style="position:absolute;left:0;text-align:left;margin-left:-30.9pt;margin-top:21.9pt;width:542pt;height:152pt;z-index:251659264;visibility:visible;mso-width-relative:margin" filled="f">
            <v:textbox style="mso-next-textbox:#矩形 2" inset=",,,.3mm">
              <w:txbxContent>
                <w:p w14:paraId="2EFB3E0E" w14:textId="77777777" w:rsidR="00AC1F12" w:rsidRPr="00242EB5" w:rsidRDefault="00AC1F12" w:rsidP="00AC1F12">
                  <w:pPr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  <w:r w:rsidRPr="00242EB5">
                    <w:rPr>
                      <w:rFonts w:ascii="標楷體" w:eastAsia="標楷體" w:hAnsi="標楷體" w:hint="eastAsia"/>
                      <w:sz w:val="22"/>
                    </w:rPr>
                    <w:t>檢附文件</w:t>
                  </w:r>
                </w:p>
                <w:p w14:paraId="7788783F" w14:textId="77777777" w:rsidR="00AC1F12" w:rsidRPr="00946CB8" w:rsidRDefault="00AC1F12" w:rsidP="00AC1F1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20" w:lineRule="exact"/>
                    <w:ind w:leftChars="50" w:left="567" w:hanging="447"/>
                    <w:jc w:val="both"/>
                    <w:rPr>
                      <w:rFonts w:eastAsia="標楷體"/>
                      <w:color w:val="000000"/>
                      <w:sz w:val="22"/>
                      <w:szCs w:val="20"/>
                    </w:rPr>
                  </w:pPr>
                  <w:r w:rsidRPr="00946CB8">
                    <w:rPr>
                      <w:rFonts w:ascii="標楷體" w:eastAsia="標楷體" w:hAnsi="標楷體"/>
                      <w:color w:val="000000"/>
                      <w:kern w:val="0"/>
                      <w:sz w:val="22"/>
                    </w:rPr>
                    <w:t>□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臨床症狀及徵兆之病歷紀錄，需包含病史、用藥史等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(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必要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)</w:t>
                  </w:r>
                </w:p>
                <w:p w14:paraId="497A0EEF" w14:textId="77777777" w:rsidR="00AC1F12" w:rsidRPr="00946CB8" w:rsidRDefault="00AC1F12" w:rsidP="00AC1F1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20" w:lineRule="exact"/>
                    <w:ind w:leftChars="50" w:left="615" w:hangingChars="225" w:hanging="495"/>
                    <w:jc w:val="both"/>
                    <w:rPr>
                      <w:rFonts w:eastAsia="標楷體"/>
                      <w:color w:val="000000"/>
                      <w:sz w:val="22"/>
                      <w:szCs w:val="20"/>
                    </w:rPr>
                  </w:pPr>
                  <w:r w:rsidRPr="00946CB8">
                    <w:rPr>
                      <w:rFonts w:ascii="標楷體" w:eastAsia="標楷體" w:hAnsi="標楷體"/>
                      <w:color w:val="000000"/>
                      <w:kern w:val="0"/>
                      <w:sz w:val="22"/>
                    </w:rPr>
                    <w:t>□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骨髓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切片病理報告與抹片報告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(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必要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)</w:t>
                  </w:r>
                </w:p>
                <w:p w14:paraId="6A9BBF03" w14:textId="77777777" w:rsidR="00AC1F12" w:rsidRPr="00946CB8" w:rsidRDefault="00AC1F12" w:rsidP="00AC1F1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20" w:lineRule="exact"/>
                    <w:ind w:leftChars="50" w:left="615" w:hangingChars="225" w:hanging="495"/>
                    <w:jc w:val="both"/>
                    <w:rPr>
                      <w:rFonts w:eastAsia="標楷體"/>
                      <w:color w:val="000000"/>
                      <w:sz w:val="22"/>
                      <w:szCs w:val="20"/>
                    </w:rPr>
                  </w:pPr>
                  <w:r w:rsidRPr="00946CB8">
                    <w:rPr>
                      <w:rFonts w:ascii="標楷體" w:eastAsia="標楷體" w:hAnsi="標楷體"/>
                      <w:color w:val="000000"/>
                      <w:kern w:val="0"/>
                      <w:sz w:val="22"/>
                    </w:rPr>
                    <w:t>□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骨髓細胞之染色體報告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(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必要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)</w:t>
                  </w:r>
                </w:p>
                <w:p w14:paraId="73FBCE46" w14:textId="77777777" w:rsidR="00AC1F12" w:rsidRPr="00946CB8" w:rsidRDefault="00AC1F12" w:rsidP="00AC1F1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20" w:lineRule="exact"/>
                    <w:ind w:leftChars="50" w:left="615" w:hangingChars="225" w:hanging="495"/>
                    <w:jc w:val="both"/>
                    <w:rPr>
                      <w:rFonts w:eastAsia="標楷體"/>
                      <w:color w:val="000000"/>
                      <w:sz w:val="22"/>
                      <w:szCs w:val="20"/>
                    </w:rPr>
                  </w:pPr>
                  <w:r w:rsidRPr="00946CB8">
                    <w:rPr>
                      <w:rFonts w:ascii="標楷體" w:eastAsia="標楷體" w:hAnsi="標楷體"/>
                      <w:color w:val="000000"/>
                      <w:kern w:val="0"/>
                      <w:sz w:val="22"/>
                    </w:rPr>
                    <w:t>□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詳細之血液數據</w:t>
                  </w:r>
                  <w:r w:rsidRPr="00946CB8">
                    <w:rPr>
                      <w:color w:val="000000"/>
                      <w:kern w:val="0"/>
                      <w:sz w:val="22"/>
                      <w:szCs w:val="20"/>
                    </w:rPr>
                    <w:t>、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生化數據</w:t>
                  </w:r>
                  <w:r w:rsidRPr="00946CB8">
                    <w:rPr>
                      <w:color w:val="000000"/>
                      <w:kern w:val="0"/>
                      <w:sz w:val="22"/>
                      <w:szCs w:val="20"/>
                    </w:rPr>
                    <w:t>、</w:t>
                  </w:r>
                  <w:proofErr w:type="spellStart"/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Coombs</w:t>
                  </w:r>
                  <w:proofErr w:type="gramStart"/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’</w:t>
                  </w:r>
                  <w:proofErr w:type="spellEnd"/>
                  <w:proofErr w:type="gramEnd"/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 xml:space="preserve"> tests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足以證明非免疫性之血管內溶血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(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必要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)</w:t>
                  </w:r>
                </w:p>
                <w:p w14:paraId="1E253AC2" w14:textId="77777777" w:rsidR="00AC1F12" w:rsidRPr="00946CB8" w:rsidRDefault="00AC1F12" w:rsidP="00AC1F1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20" w:lineRule="exact"/>
                    <w:ind w:leftChars="50" w:left="615" w:hangingChars="225" w:hanging="495"/>
                    <w:jc w:val="both"/>
                    <w:rPr>
                      <w:rFonts w:eastAsia="標楷體"/>
                      <w:color w:val="000000"/>
                      <w:sz w:val="22"/>
                      <w:szCs w:val="20"/>
                    </w:rPr>
                  </w:pPr>
                  <w:r w:rsidRPr="00946CB8">
                    <w:rPr>
                      <w:rFonts w:ascii="標楷體" w:eastAsia="標楷體" w:hAnsi="標楷體"/>
                      <w:color w:val="000000"/>
                      <w:kern w:val="0"/>
                      <w:sz w:val="22"/>
                    </w:rPr>
                    <w:t>□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Vitamin B12</w:t>
                  </w:r>
                  <w:r w:rsidRPr="00946CB8">
                    <w:rPr>
                      <w:color w:val="000000"/>
                      <w:kern w:val="0"/>
                      <w:sz w:val="22"/>
                      <w:szCs w:val="20"/>
                    </w:rPr>
                    <w:t>、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folic acid</w:t>
                  </w:r>
                  <w:r w:rsidRPr="00946CB8">
                    <w:rPr>
                      <w:color w:val="000000"/>
                      <w:kern w:val="0"/>
                      <w:sz w:val="22"/>
                      <w:szCs w:val="20"/>
                    </w:rPr>
                    <w:t>、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iron profile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之數據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(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必要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)</w:t>
                  </w:r>
                </w:p>
                <w:p w14:paraId="154BEA8A" w14:textId="77777777" w:rsidR="00AC1F12" w:rsidRPr="00946CB8" w:rsidRDefault="00AC1F12" w:rsidP="00AC1F1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20" w:lineRule="exact"/>
                    <w:ind w:leftChars="50" w:left="615" w:hangingChars="225" w:hanging="495"/>
                    <w:jc w:val="both"/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</w:pPr>
                  <w:r w:rsidRPr="00946CB8">
                    <w:rPr>
                      <w:rFonts w:ascii="標楷體" w:eastAsia="標楷體" w:hAnsi="標楷體"/>
                      <w:color w:val="000000"/>
                      <w:kern w:val="0"/>
                      <w:sz w:val="22"/>
                    </w:rPr>
                    <w:t>□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周邊血液流式細胞儀檢驗，證明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RBC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、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granulocyte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與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monocyte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之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PNH clone size (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請附圖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)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 xml:space="preserve"> (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必要</w:t>
                  </w:r>
                  <w:r w:rsidRPr="00946CB8">
                    <w:rPr>
                      <w:rFonts w:eastAsia="標楷體"/>
                      <w:color w:val="000000"/>
                      <w:sz w:val="22"/>
                      <w:szCs w:val="20"/>
                    </w:rPr>
                    <w:t>)</w:t>
                  </w:r>
                </w:p>
                <w:p w14:paraId="1C715D3E" w14:textId="77777777" w:rsidR="00AC1F12" w:rsidRPr="00946CB8" w:rsidRDefault="00AC1F12" w:rsidP="00AC1F1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20" w:lineRule="exact"/>
                    <w:ind w:leftChars="50" w:left="615" w:hangingChars="225" w:hanging="495"/>
                    <w:jc w:val="both"/>
                    <w:rPr>
                      <w:rFonts w:eastAsia="標楷體"/>
                      <w:color w:val="000000"/>
                      <w:sz w:val="22"/>
                      <w:szCs w:val="20"/>
                    </w:rPr>
                  </w:pPr>
                  <w:r w:rsidRPr="00946CB8">
                    <w:rPr>
                      <w:rFonts w:ascii="標楷體" w:eastAsia="標楷體" w:hAnsi="標楷體"/>
                      <w:color w:val="000000"/>
                      <w:kern w:val="0"/>
                      <w:sz w:val="22"/>
                    </w:rPr>
                    <w:t>□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半年內之輸血紀錄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(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必要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)</w:t>
                  </w:r>
                </w:p>
                <w:p w14:paraId="4412D456" w14:textId="77777777" w:rsidR="00AC1F12" w:rsidRPr="00946CB8" w:rsidRDefault="00AC1F12" w:rsidP="00AC1F1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20" w:lineRule="exact"/>
                    <w:ind w:leftChars="50" w:left="615" w:hangingChars="225" w:hanging="495"/>
                    <w:jc w:val="both"/>
                    <w:rPr>
                      <w:rFonts w:eastAsia="標楷體"/>
                      <w:color w:val="000000"/>
                      <w:sz w:val="22"/>
                      <w:szCs w:val="20"/>
                    </w:rPr>
                  </w:pPr>
                  <w:r w:rsidRPr="00946CB8">
                    <w:rPr>
                      <w:rFonts w:ascii="標楷體" w:eastAsia="標楷體" w:hAnsi="標楷體"/>
                      <w:color w:val="000000"/>
                      <w:kern w:val="0"/>
                      <w:sz w:val="22"/>
                    </w:rPr>
                    <w:t>□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有關血栓之影像及血液檢驗</w:t>
                  </w:r>
                </w:p>
                <w:p w14:paraId="2168C5A7" w14:textId="77777777" w:rsidR="00AC1F12" w:rsidRPr="00946CB8" w:rsidRDefault="00AC1F12" w:rsidP="00AC1F1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20" w:lineRule="exact"/>
                    <w:ind w:leftChars="50" w:left="615" w:hangingChars="225" w:hanging="495"/>
                    <w:jc w:val="both"/>
                    <w:rPr>
                      <w:rFonts w:eastAsia="標楷體"/>
                      <w:color w:val="000000"/>
                      <w:sz w:val="22"/>
                      <w:szCs w:val="20"/>
                    </w:rPr>
                  </w:pPr>
                  <w:r w:rsidRPr="00946CB8">
                    <w:rPr>
                      <w:rFonts w:ascii="標楷體" w:eastAsia="標楷體" w:hAnsi="標楷體"/>
                      <w:color w:val="000000"/>
                      <w:kern w:val="0"/>
                      <w:sz w:val="22"/>
                    </w:rPr>
                    <w:t>□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心臟超音波或是心導管檢查</w:t>
                  </w:r>
                </w:p>
                <w:p w14:paraId="4B736C69" w14:textId="77777777" w:rsidR="00AC1F12" w:rsidRPr="00946CB8" w:rsidRDefault="00AC1F12" w:rsidP="00AC1F1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20" w:lineRule="exact"/>
                    <w:ind w:left="495" w:hangingChars="225" w:hanging="495"/>
                    <w:jc w:val="both"/>
                    <w:rPr>
                      <w:rFonts w:eastAsia="標楷體"/>
                      <w:color w:val="000000"/>
                      <w:sz w:val="22"/>
                      <w:szCs w:val="20"/>
                    </w:rPr>
                  </w:pPr>
                  <w:r w:rsidRPr="00946CB8">
                    <w:rPr>
                      <w:rFonts w:ascii="標楷體" w:eastAsia="標楷體" w:hAnsi="標楷體"/>
                      <w:color w:val="000000"/>
                      <w:kern w:val="0"/>
                      <w:sz w:val="22"/>
                    </w:rPr>
                    <w:t>□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有關腎功能不全之</w:t>
                  </w:r>
                  <w:r w:rsidRPr="00946CB8">
                    <w:rPr>
                      <w:rFonts w:eastAsia="標楷體"/>
                      <w:bCs/>
                      <w:color w:val="000000"/>
                      <w:kern w:val="0"/>
                      <w:sz w:val="22"/>
                      <w:szCs w:val="20"/>
                    </w:rPr>
                    <w:t>血液檢驗</w:t>
                  </w:r>
                  <w:r w:rsidRPr="00946CB8">
                    <w:rPr>
                      <w:rFonts w:eastAsia="標楷體" w:hint="eastAsia"/>
                      <w:bCs/>
                      <w:color w:val="000000"/>
                      <w:kern w:val="0"/>
                      <w:sz w:val="22"/>
                      <w:szCs w:val="20"/>
                    </w:rPr>
                    <w:t>及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影像</w:t>
                  </w:r>
                  <w:r w:rsidRPr="00946CB8">
                    <w:rPr>
                      <w:rFonts w:eastAsia="標楷體" w:hint="eastAsia"/>
                      <w:bCs/>
                      <w:color w:val="000000"/>
                      <w:kern w:val="0"/>
                      <w:sz w:val="22"/>
                      <w:szCs w:val="20"/>
                    </w:rPr>
                    <w:t>或腎臟切片之病理報告</w:t>
                  </w:r>
                </w:p>
                <w:p w14:paraId="2612E2B2" w14:textId="77777777" w:rsidR="00AC1F12" w:rsidRPr="00946CB8" w:rsidRDefault="00AC1F12" w:rsidP="00AC1F1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20" w:lineRule="exact"/>
                    <w:ind w:left="495" w:hangingChars="225" w:hanging="495"/>
                    <w:jc w:val="both"/>
                    <w:rPr>
                      <w:rFonts w:eastAsia="標楷體"/>
                      <w:color w:val="000000"/>
                      <w:sz w:val="22"/>
                      <w:szCs w:val="20"/>
                    </w:rPr>
                  </w:pPr>
                  <w:r w:rsidRPr="00946CB8">
                    <w:rPr>
                      <w:rFonts w:ascii="標楷體" w:eastAsia="標楷體" w:hAnsi="標楷體"/>
                      <w:color w:val="000000"/>
                      <w:kern w:val="0"/>
                      <w:sz w:val="22"/>
                    </w:rPr>
                    <w:t>□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基因檢測</w:t>
                  </w:r>
                </w:p>
                <w:p w14:paraId="3D8F8561" w14:textId="77777777" w:rsidR="00AC1F12" w:rsidRPr="00946CB8" w:rsidRDefault="00AC1F12" w:rsidP="00AC1F12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20" w:lineRule="exact"/>
                    <w:ind w:left="495" w:hangingChars="225" w:hanging="495"/>
                    <w:jc w:val="both"/>
                    <w:rPr>
                      <w:rFonts w:eastAsia="標楷體"/>
                      <w:color w:val="000000"/>
                      <w:sz w:val="22"/>
                      <w:szCs w:val="20"/>
                    </w:rPr>
                  </w:pPr>
                  <w:r w:rsidRPr="00946CB8">
                    <w:rPr>
                      <w:rFonts w:ascii="標楷體" w:eastAsia="標楷體" w:hAnsi="標楷體"/>
                      <w:color w:val="000000"/>
                      <w:kern w:val="0"/>
                      <w:sz w:val="22"/>
                    </w:rPr>
                    <w:t>□</w:t>
                  </w:r>
                  <w:r w:rsidRPr="00946CB8">
                    <w:rPr>
                      <w:rFonts w:eastAsia="標楷體"/>
                      <w:color w:val="000000"/>
                      <w:kern w:val="0"/>
                      <w:sz w:val="22"/>
                      <w:szCs w:val="20"/>
                    </w:rPr>
                    <w:t>其他有必要之資料與說明</w:t>
                  </w:r>
                </w:p>
              </w:txbxContent>
            </v:textbox>
          </v:rect>
        </w:pict>
      </w:r>
      <w:r w:rsidRPr="00946CB8">
        <w:rPr>
          <w:rFonts w:eastAsia="標楷體" w:hint="eastAsia"/>
          <w:color w:val="000000"/>
          <w:sz w:val="28"/>
        </w:rPr>
        <w:t>PNH</w:t>
      </w:r>
      <w:r w:rsidRPr="00946CB8">
        <w:rPr>
          <w:rFonts w:eastAsia="標楷體" w:hint="eastAsia"/>
          <w:color w:val="000000"/>
          <w:sz w:val="28"/>
        </w:rPr>
        <w:t>診斷流程</w:t>
      </w:r>
    </w:p>
    <w:p w14:paraId="4A62AD7C" w14:textId="77777777" w:rsidR="00AC1F12" w:rsidRDefault="00AC1F12" w:rsidP="00AC1F12">
      <w:pPr>
        <w:snapToGrid w:val="0"/>
        <w:jc w:val="center"/>
        <w:rPr>
          <w:rFonts w:eastAsia="標楷體"/>
          <w:sz w:val="28"/>
        </w:rPr>
      </w:pPr>
    </w:p>
    <w:p w14:paraId="46A65692" w14:textId="77777777" w:rsidR="00AC1F12" w:rsidRPr="002D03E2" w:rsidRDefault="00AC1F12" w:rsidP="00AC1F12">
      <w:pPr>
        <w:snapToGrid w:val="0"/>
        <w:jc w:val="center"/>
        <w:rPr>
          <w:rFonts w:eastAsia="標楷體"/>
          <w:sz w:val="28"/>
        </w:rPr>
      </w:pPr>
    </w:p>
    <w:p w14:paraId="765407C9" w14:textId="77777777" w:rsidR="00AC1F12" w:rsidRPr="002D03E2" w:rsidRDefault="00AC1F12" w:rsidP="00AC1F12"/>
    <w:p w14:paraId="10BBA7AD" w14:textId="77777777" w:rsidR="00AC1F12" w:rsidRPr="002D03E2" w:rsidRDefault="00AC1F12" w:rsidP="00AC1F12"/>
    <w:p w14:paraId="0A1C62DB" w14:textId="77777777" w:rsidR="00AC1F12" w:rsidRPr="002D03E2" w:rsidRDefault="00AC1F12" w:rsidP="00AC1F12"/>
    <w:p w14:paraId="7E091836" w14:textId="77777777" w:rsidR="00AC1F12" w:rsidRPr="002D03E2" w:rsidRDefault="00AC1F12" w:rsidP="00AC1F12"/>
    <w:p w14:paraId="3DF2D9B6" w14:textId="77777777" w:rsidR="00AC1F12" w:rsidRPr="002D03E2" w:rsidRDefault="00AC1F12" w:rsidP="00AC1F12"/>
    <w:p w14:paraId="2896EBF7" w14:textId="77777777" w:rsidR="00AC1F12" w:rsidRPr="002D03E2" w:rsidRDefault="00AC1F12" w:rsidP="00AC1F12"/>
    <w:p w14:paraId="40E73C32" w14:textId="77777777" w:rsidR="00AC1F12" w:rsidRPr="002D03E2" w:rsidRDefault="00AC1F12" w:rsidP="00AC1F12">
      <w:r>
        <w:rPr>
          <w:noProof/>
        </w:rPr>
        <w:pict w14:anchorId="70EFF9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4" type="#_x0000_t32" style="position:absolute;margin-left:230.45pt;margin-top:16pt;width:0;height:14.15pt;z-index:251665408" o:connectortype="straight">
            <v:stroke endarrow="block"/>
          </v:shape>
        </w:pict>
      </w:r>
    </w:p>
    <w:p w14:paraId="01FD1F5D" w14:textId="77777777" w:rsidR="00AC1F12" w:rsidRPr="002D03E2" w:rsidRDefault="00AC1F12" w:rsidP="00AC1F12">
      <w:r>
        <w:rPr>
          <w:noProof/>
        </w:rPr>
        <w:pict w14:anchorId="413C812D">
          <v:rect id="矩形 50" o:spid="_x0000_s1133" style="position:absolute;margin-left:-30.9pt;margin-top:14.05pt;width:542pt;height:163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">
            <v:textbox>
              <w:txbxContent>
                <w:p w14:paraId="45FCB55A" w14:textId="77777777" w:rsidR="00AC1F12" w:rsidRPr="00C8163A" w:rsidRDefault="00AC1F12" w:rsidP="00AC1F12">
                  <w:pPr>
                    <w:snapToGrid w:val="0"/>
                    <w:rPr>
                      <w:rFonts w:eastAsia="標楷體"/>
                      <w:kern w:val="0"/>
                      <w:sz w:val="22"/>
                    </w:rPr>
                  </w:pPr>
                  <w:r w:rsidRPr="00C8163A">
                    <w:rPr>
                      <w:rFonts w:ascii="標楷體" w:eastAsia="標楷體" w:hAnsi="標楷體" w:hint="eastAsia"/>
                      <w:sz w:val="22"/>
                    </w:rPr>
                    <w:t>以下條件至少符合一項</w:t>
                  </w:r>
                </w:p>
                <w:p w14:paraId="0AC612BE" w14:textId="77777777" w:rsidR="00AC1F12" w:rsidRPr="00C8163A" w:rsidRDefault="00AC1F12" w:rsidP="00AC1F12">
                  <w:pPr>
                    <w:pStyle w:val="a4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napToGrid w:val="0"/>
                    <w:ind w:leftChars="0" w:left="357" w:hanging="357"/>
                    <w:jc w:val="both"/>
                    <w:rPr>
                      <w:rFonts w:eastAsia="標楷體"/>
                      <w:kern w:val="0"/>
                      <w:sz w:val="22"/>
                    </w:rPr>
                  </w:pPr>
                  <w:r w:rsidRPr="00C8163A">
                    <w:rPr>
                      <w:rFonts w:ascii="標楷體" w:eastAsia="標楷體" w:hAnsi="標楷體"/>
                      <w:kern w:val="0"/>
                      <w:sz w:val="22"/>
                    </w:rPr>
                    <w:t>□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臨床上</w:t>
                  </w:r>
                  <w:r w:rsidRPr="00C8163A">
                    <w:rPr>
                      <w:rFonts w:eastAsia="標楷體" w:hint="eastAsia"/>
                      <w:kern w:val="0"/>
                      <w:sz w:val="22"/>
                    </w:rPr>
                    <w:t>具有明顯之血管內溶血，並足以證明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為該病人貧血之主要原因。血紅素濃度三個月內至少有兩次檢測數值低於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9 g/dL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，且須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6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個月內至少輸血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6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個單位以上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 xml:space="preserve"> (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對於兒科病人，以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 xml:space="preserve">PRBC &gt; 30mL/Kg/6months 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為標準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)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。須排除其他原因引起之貧血，包括缺鐵性貧血或出血等。如果合併再生不良貧血或是骨髓化生不良症候群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 xml:space="preserve"> (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意即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PNH in the setting of another specified bone marrow disorder)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，則必須能證明該病人仍有明顯之血管內溶血，且溶血為該病人貧血之主要原因。</w:t>
                  </w:r>
                </w:p>
                <w:p w14:paraId="6BC9BCB7" w14:textId="77777777" w:rsidR="00AC1F12" w:rsidRPr="00C8163A" w:rsidRDefault="00AC1F12" w:rsidP="00AC1F12">
                  <w:pPr>
                    <w:pStyle w:val="a4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napToGrid w:val="0"/>
                    <w:ind w:leftChars="0" w:left="357" w:hanging="357"/>
                    <w:jc w:val="both"/>
                    <w:rPr>
                      <w:rFonts w:eastAsia="標楷體"/>
                      <w:kern w:val="0"/>
                      <w:sz w:val="22"/>
                    </w:rPr>
                  </w:pPr>
                  <w:r w:rsidRPr="00C8163A">
                    <w:rPr>
                      <w:rFonts w:ascii="標楷體" w:eastAsia="標楷體" w:hAnsi="標楷體"/>
                      <w:kern w:val="0"/>
                      <w:sz w:val="22"/>
                    </w:rPr>
                    <w:t>□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血栓形成，並排除非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PNH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之其他因素，例如家族遺傳性血栓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 xml:space="preserve"> (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如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protein C deficiency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、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protein S deficiency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等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)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、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myeloproliferative neoplasms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、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immobilization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、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anti-phospholipid antibody syndrome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等。</w:t>
                  </w:r>
                </w:p>
                <w:p w14:paraId="3559B370" w14:textId="77777777" w:rsidR="00AC1F12" w:rsidRPr="00C8163A" w:rsidRDefault="00AC1F12" w:rsidP="00AC1F12">
                  <w:pPr>
                    <w:pStyle w:val="a4"/>
                    <w:numPr>
                      <w:ilvl w:val="0"/>
                      <w:numId w:val="5"/>
                    </w:numPr>
                    <w:snapToGrid w:val="0"/>
                    <w:ind w:leftChars="0"/>
                    <w:rPr>
                      <w:rFonts w:eastAsia="標楷體"/>
                      <w:kern w:val="0"/>
                      <w:sz w:val="22"/>
                    </w:rPr>
                  </w:pPr>
                  <w:r w:rsidRPr="00C8163A">
                    <w:rPr>
                      <w:rFonts w:ascii="標楷體" w:eastAsia="標楷體" w:hAnsi="標楷體"/>
                      <w:kern w:val="0"/>
                      <w:sz w:val="22"/>
                    </w:rPr>
                    <w:t>□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因血管內溶血導致的腎功能衰竭（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 xml:space="preserve">serum creatinine 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大於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2.0 mg/dL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），且排除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PNH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以外的因素。</w:t>
                  </w:r>
                </w:p>
                <w:p w14:paraId="4D45AC60" w14:textId="77777777" w:rsidR="00AC1F12" w:rsidRPr="00C8163A" w:rsidRDefault="00AC1F12" w:rsidP="00AC1F12">
                  <w:pPr>
                    <w:pStyle w:val="a4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 w:left="357" w:hanging="357"/>
                    <w:rPr>
                      <w:rFonts w:eastAsia="標楷體"/>
                      <w:kern w:val="0"/>
                      <w:sz w:val="22"/>
                    </w:rPr>
                  </w:pPr>
                  <w:r w:rsidRPr="00C8163A">
                    <w:rPr>
                      <w:rFonts w:ascii="標楷體" w:eastAsia="標楷體" w:hAnsi="標楷體"/>
                      <w:kern w:val="0"/>
                      <w:sz w:val="22"/>
                    </w:rPr>
                    <w:t>□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肺動脈高壓，導致臨床心肺衰竭，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New York Heart Association Class III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或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IV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，且排除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PNH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以外的因素。</w:t>
                  </w:r>
                </w:p>
                <w:p w14:paraId="04F2ACCE" w14:textId="77777777" w:rsidR="00AC1F12" w:rsidRPr="00C8163A" w:rsidRDefault="00AC1F12" w:rsidP="00AC1F12">
                  <w:pPr>
                    <w:pStyle w:val="a4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napToGrid w:val="0"/>
                    <w:ind w:leftChars="0"/>
                    <w:jc w:val="both"/>
                    <w:rPr>
                      <w:rFonts w:eastAsia="標楷體"/>
                      <w:kern w:val="0"/>
                      <w:sz w:val="22"/>
                    </w:rPr>
                  </w:pPr>
                  <w:r w:rsidRPr="00C8163A">
                    <w:rPr>
                      <w:rFonts w:ascii="標楷體" w:eastAsia="標楷體" w:hAnsi="標楷體"/>
                      <w:kern w:val="0"/>
                      <w:sz w:val="22"/>
                    </w:rPr>
                    <w:t>□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平滑肌痙攣，導致疼痛需住院或用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narcotic analgesics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緩解症狀者，且排除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PNH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以外的因素。</w:t>
                  </w:r>
                </w:p>
              </w:txbxContent>
            </v:textbox>
          </v:rect>
        </w:pict>
      </w:r>
    </w:p>
    <w:p w14:paraId="66A8D40D" w14:textId="77777777" w:rsidR="00AC1F12" w:rsidRPr="002D03E2" w:rsidRDefault="00AC1F12" w:rsidP="00AC1F12"/>
    <w:p w14:paraId="75DBE970" w14:textId="77777777" w:rsidR="00AC1F12" w:rsidRPr="002D03E2" w:rsidRDefault="00AC1F12" w:rsidP="00AC1F12"/>
    <w:p w14:paraId="1097620E" w14:textId="77777777" w:rsidR="00AC1F12" w:rsidRPr="002D03E2" w:rsidRDefault="00AC1F12" w:rsidP="00AC1F12"/>
    <w:p w14:paraId="1A996A03" w14:textId="77777777" w:rsidR="00AC1F12" w:rsidRPr="002D03E2" w:rsidRDefault="00AC1F12" w:rsidP="00AC1F12"/>
    <w:p w14:paraId="0A84AE0A" w14:textId="77777777" w:rsidR="00AC1F12" w:rsidRPr="002D03E2" w:rsidRDefault="00AC1F12" w:rsidP="00AC1F12"/>
    <w:p w14:paraId="1F156AE9" w14:textId="77777777" w:rsidR="00AC1F12" w:rsidRPr="002D03E2" w:rsidRDefault="00AC1F12" w:rsidP="00AC1F12"/>
    <w:p w14:paraId="13B325BE" w14:textId="77777777" w:rsidR="00AC1F12" w:rsidRPr="002D03E2" w:rsidRDefault="00AC1F12" w:rsidP="00AC1F12"/>
    <w:p w14:paraId="5ABBAD3C" w14:textId="77777777" w:rsidR="00AC1F12" w:rsidRPr="002D03E2" w:rsidRDefault="00AC1F12" w:rsidP="00AC1F12"/>
    <w:p w14:paraId="6CF1AE03" w14:textId="77777777" w:rsidR="00AC1F12" w:rsidRPr="002D03E2" w:rsidRDefault="00AC1F12" w:rsidP="00AC1F12">
      <w:r>
        <w:rPr>
          <w:noProof/>
        </w:rPr>
        <w:pict w14:anchorId="493472CA">
          <v:group id="群組 47" o:spid="_x0000_s1134" style="position:absolute;margin-left:98.95pt;margin-top:15.3pt;width:259.85pt;height:35.05pt;z-index:251663360" coordorigin="3741,6513" coordsize="4630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">
            <v:shape id="_x0000_s1135" type="#_x0000_t32" style="position:absolute;left:6064;top:6513;width:0;height:34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left:3741;top:6860;width:4630;height: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<v:textbox style="mso-next-textbox:#_x0000_s1136">
                <w:txbxContent>
                  <w:p w14:paraId="6CDC0AB6" w14:textId="77777777" w:rsidR="00AC1F12" w:rsidRPr="00D0587B" w:rsidRDefault="00AC1F12" w:rsidP="00AC1F12">
                    <w:pPr>
                      <w:autoSpaceDE w:val="0"/>
                      <w:autoSpaceDN w:val="0"/>
                      <w:adjustRightInd w:val="0"/>
                      <w:snapToGrid w:val="0"/>
                      <w:jc w:val="center"/>
                      <w:rPr>
                        <w:rFonts w:eastAsia="標楷體"/>
                      </w:rPr>
                    </w:pPr>
                    <w:r>
                      <w:rPr>
                        <w:rFonts w:ascii="標楷體" w:eastAsia="標楷體" w:hAnsi="標楷體" w:hint="eastAsia"/>
                        <w:kern w:val="0"/>
                      </w:rPr>
                      <w:t>排除上述症狀或徵兆之次發性原因</w:t>
                    </w:r>
                  </w:p>
                </w:txbxContent>
              </v:textbox>
            </v:shape>
          </v:group>
        </w:pict>
      </w:r>
    </w:p>
    <w:p w14:paraId="0EAD936B" w14:textId="77777777" w:rsidR="00AC1F12" w:rsidRPr="002D03E2" w:rsidRDefault="00AC1F12" w:rsidP="00AC1F12"/>
    <w:p w14:paraId="33FD19C2" w14:textId="77777777" w:rsidR="00AC1F12" w:rsidRPr="002D03E2" w:rsidRDefault="00AC1F12" w:rsidP="00AC1F12">
      <w:r>
        <w:rPr>
          <w:noProof/>
        </w:rPr>
        <w:pict w14:anchorId="7C24883F">
          <v:shape id="AutoShape 11" o:spid="_x0000_s1145" type="#_x0000_t32" style="position:absolute;margin-left:229.3pt;margin-top:17.05pt;width:.3pt;height:14.3pt;flip:x;z-index:25166643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Sq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O1cEqsMAAADbAAAADwAA&#10;AAAAAAAAAAAAAAAHAgAAZHJzL2Rvd25yZXYueG1sUEsFBgAAAAADAAMAtwAAAPcCAAAAAA==&#10;">
            <v:stroke endarrow="block"/>
          </v:shape>
        </w:pict>
      </w:r>
    </w:p>
    <w:p w14:paraId="0FD1EF90" w14:textId="77777777" w:rsidR="00AC1F12" w:rsidRPr="002D03E2" w:rsidRDefault="00AC1F12" w:rsidP="00AC1F12">
      <w:r>
        <w:rPr>
          <w:noProof/>
        </w:rPr>
        <w:pict w14:anchorId="208BC310">
          <v:shape id="文字方塊 2" o:spid="_x0000_s1146" type="#_x0000_t202" style="position:absolute;margin-left:-30.9pt;margin-top:13.7pt;width:543pt;height:76.55pt;z-index:251667456;visibility:visible">
            <v:textbox style="mso-next-textbox:#文字方塊 2" inset=",,,.3mm">
              <w:txbxContent>
                <w:p w14:paraId="5093EAF1" w14:textId="77777777" w:rsidR="00AC1F12" w:rsidRPr="00C8163A" w:rsidRDefault="00AC1F12" w:rsidP="00AC1F12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eastAsia="標楷體"/>
                      <w:kern w:val="0"/>
                      <w:sz w:val="22"/>
                    </w:rPr>
                  </w:pPr>
                  <w:r w:rsidRPr="00C8163A">
                    <w:rPr>
                      <w:rFonts w:eastAsia="標楷體"/>
                      <w:kern w:val="0"/>
                      <w:sz w:val="22"/>
                    </w:rPr>
                    <w:t>臨床表現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(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必要項目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)</w:t>
                  </w:r>
                </w:p>
                <w:p w14:paraId="55A8FF15" w14:textId="77777777" w:rsidR="00AC1F12" w:rsidRPr="00C8163A" w:rsidRDefault="00AC1F12" w:rsidP="00AC1F12">
                  <w:pPr>
                    <w:pStyle w:val="a4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napToGrid w:val="0"/>
                    <w:ind w:leftChars="0" w:left="426" w:hanging="426"/>
                    <w:jc w:val="both"/>
                    <w:rPr>
                      <w:rFonts w:ascii="標楷體" w:eastAsia="標楷體" w:hAnsi="標楷體"/>
                      <w:kern w:val="0"/>
                      <w:sz w:val="22"/>
                    </w:rPr>
                  </w:pPr>
                  <w:r w:rsidRPr="00C8163A">
                    <w:rPr>
                      <w:rFonts w:ascii="標楷體" w:eastAsia="標楷體" w:hAnsi="標楷體"/>
                      <w:kern w:val="0"/>
                      <w:sz w:val="22"/>
                    </w:rPr>
                    <w:t>□溶血性貧血且</w:t>
                  </w:r>
                  <w:proofErr w:type="spellStart"/>
                  <w:r w:rsidRPr="00C8163A">
                    <w:rPr>
                      <w:rFonts w:eastAsia="標楷體"/>
                      <w:kern w:val="0"/>
                      <w:sz w:val="22"/>
                    </w:rPr>
                    <w:t>Coombs</w:t>
                  </w:r>
                  <w:proofErr w:type="gramStart"/>
                  <w:r w:rsidRPr="00C8163A">
                    <w:rPr>
                      <w:rFonts w:eastAsia="標楷體"/>
                      <w:kern w:val="0"/>
                      <w:sz w:val="22"/>
                    </w:rPr>
                    <w:t>’</w:t>
                  </w:r>
                  <w:proofErr w:type="spellEnd"/>
                  <w:proofErr w:type="gramEnd"/>
                  <w:r w:rsidRPr="00C8163A">
                    <w:rPr>
                      <w:rFonts w:eastAsia="標楷體"/>
                      <w:kern w:val="0"/>
                      <w:sz w:val="22"/>
                    </w:rPr>
                    <w:t xml:space="preserve"> tests</w:t>
                  </w:r>
                  <w:r w:rsidRPr="00C8163A">
                    <w:rPr>
                      <w:rFonts w:eastAsia="標楷體"/>
                      <w:kern w:val="0"/>
                      <w:sz w:val="22"/>
                    </w:rPr>
                    <w:t>為陰性</w:t>
                  </w:r>
                </w:p>
                <w:p w14:paraId="4F4EB92C" w14:textId="77777777" w:rsidR="00AC1F12" w:rsidRPr="00C8163A" w:rsidRDefault="00AC1F12" w:rsidP="00AC1F12">
                  <w:pPr>
                    <w:pStyle w:val="a4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napToGrid w:val="0"/>
                    <w:ind w:leftChars="0" w:left="426" w:hanging="426"/>
                    <w:jc w:val="both"/>
                    <w:rPr>
                      <w:rFonts w:eastAsia="標楷體"/>
                      <w:sz w:val="22"/>
                    </w:rPr>
                  </w:pPr>
                  <w:r w:rsidRPr="00C8163A">
                    <w:rPr>
                      <w:rFonts w:ascii="標楷體" w:eastAsia="標楷體" w:hAnsi="標楷體"/>
                      <w:kern w:val="0"/>
                      <w:sz w:val="22"/>
                    </w:rPr>
                    <w:t>□</w:t>
                  </w:r>
                  <w:r w:rsidRPr="00C8163A">
                    <w:rPr>
                      <w:rFonts w:eastAsia="標楷體"/>
                      <w:sz w:val="22"/>
                    </w:rPr>
                    <w:t>LDH</w:t>
                  </w:r>
                  <w:r w:rsidRPr="00C8163A">
                    <w:rPr>
                      <w:rFonts w:eastAsia="標楷體"/>
                      <w:sz w:val="22"/>
                    </w:rPr>
                    <w:t>升高</w:t>
                  </w:r>
                </w:p>
                <w:p w14:paraId="1A22A015" w14:textId="77777777" w:rsidR="00AC1F12" w:rsidRPr="00C8163A" w:rsidRDefault="00AC1F12" w:rsidP="00AC1F12">
                  <w:pPr>
                    <w:pStyle w:val="a4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napToGrid w:val="0"/>
                    <w:ind w:leftChars="0" w:left="426" w:hanging="426"/>
                    <w:jc w:val="both"/>
                    <w:rPr>
                      <w:rFonts w:eastAsia="標楷體"/>
                      <w:sz w:val="22"/>
                    </w:rPr>
                  </w:pPr>
                  <w:r w:rsidRPr="00C8163A">
                    <w:rPr>
                      <w:rFonts w:ascii="標楷體" w:eastAsia="標楷體" w:hAnsi="標楷體"/>
                      <w:kern w:val="0"/>
                      <w:sz w:val="22"/>
                    </w:rPr>
                    <w:t>□</w:t>
                  </w:r>
                  <w:r w:rsidRPr="00C8163A">
                    <w:rPr>
                      <w:rFonts w:eastAsia="標楷體"/>
                      <w:sz w:val="22"/>
                    </w:rPr>
                    <w:t>黃疸或間接性高胆紅素血症</w:t>
                  </w:r>
                </w:p>
                <w:p w14:paraId="3D6409F7" w14:textId="77777777" w:rsidR="00AC1F12" w:rsidRPr="00C8163A" w:rsidRDefault="00AC1F12" w:rsidP="00AC1F12">
                  <w:pPr>
                    <w:pStyle w:val="a4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napToGrid w:val="0"/>
                    <w:ind w:leftChars="0" w:left="426" w:hanging="426"/>
                    <w:jc w:val="both"/>
                    <w:rPr>
                      <w:rFonts w:eastAsia="標楷體"/>
                      <w:sz w:val="22"/>
                    </w:rPr>
                  </w:pPr>
                  <w:r w:rsidRPr="00C8163A">
                    <w:rPr>
                      <w:rFonts w:ascii="標楷體" w:eastAsia="標楷體" w:hAnsi="標楷體"/>
                      <w:kern w:val="0"/>
                      <w:sz w:val="22"/>
                    </w:rPr>
                    <w:t>□</w:t>
                  </w:r>
                  <w:r w:rsidRPr="00C8163A">
                    <w:rPr>
                      <w:rFonts w:eastAsia="標楷體"/>
                      <w:sz w:val="22"/>
                    </w:rPr>
                    <w:t>網狀細胞數目異常</w:t>
                  </w:r>
                </w:p>
              </w:txbxContent>
            </v:textbox>
          </v:shape>
        </w:pict>
      </w:r>
    </w:p>
    <w:p w14:paraId="03E010C0" w14:textId="77777777" w:rsidR="00AC1F12" w:rsidRPr="002D03E2" w:rsidRDefault="00AC1F12" w:rsidP="00AC1F12"/>
    <w:p w14:paraId="45EF5A62" w14:textId="77777777" w:rsidR="00AC1F12" w:rsidRPr="002D03E2" w:rsidRDefault="00AC1F12" w:rsidP="00AC1F12"/>
    <w:p w14:paraId="0A6B4A21" w14:textId="77777777" w:rsidR="00AC1F12" w:rsidRPr="002D03E2" w:rsidRDefault="00AC1F12" w:rsidP="00AC1F12"/>
    <w:p w14:paraId="51079660" w14:textId="77777777" w:rsidR="00AC1F12" w:rsidRDefault="00AC1F12" w:rsidP="00AC1F12"/>
    <w:p w14:paraId="2B20B82B" w14:textId="77777777" w:rsidR="00AC1F12" w:rsidRDefault="00AC1F12" w:rsidP="00AC1F12">
      <w:r>
        <w:rPr>
          <w:noProof/>
        </w:rPr>
        <w:pict w14:anchorId="2CC6FF20">
          <v:shape id="文字方塊 3" o:spid="_x0000_s1132" type="#_x0000_t202" style="position:absolute;margin-left:0;margin-top:18.45pt;width:541.4pt;height:43.45pt;z-index:251661312;visibility:visible;mso-position-horizontal:center;mso-width-relative:margin;mso-height-relative:margin">
            <v:textbox>
              <w:txbxContent>
                <w:p w14:paraId="41DF1562" w14:textId="77777777" w:rsidR="00AC1F12" w:rsidRPr="00B43921" w:rsidRDefault="00AC1F12" w:rsidP="00B43921">
                  <w:pPr>
                    <w:pStyle w:val="a4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napToGrid w:val="0"/>
                    <w:ind w:leftChars="0" w:left="426" w:hanging="426"/>
                    <w:jc w:val="both"/>
                    <w:rPr>
                      <w:rFonts w:ascii="標楷體" w:eastAsia="標楷體" w:hAnsi="標楷體"/>
                      <w:kern w:val="0"/>
                      <w:sz w:val="22"/>
                    </w:rPr>
                  </w:pPr>
                  <w:r w:rsidRPr="00E02860">
                    <w:rPr>
                      <w:rFonts w:ascii="標楷體" w:eastAsia="標楷體" w:hAnsi="標楷體"/>
                      <w:kern w:val="0"/>
                      <w:sz w:val="22"/>
                    </w:rPr>
                    <w:t>□</w:t>
                  </w:r>
                  <w:r w:rsidRPr="00B43921">
                    <w:rPr>
                      <w:rFonts w:ascii="標楷體" w:eastAsia="標楷體" w:hAnsi="標楷體"/>
                      <w:kern w:val="0"/>
                      <w:sz w:val="22"/>
                    </w:rPr>
                    <w:t>周邊血液流式細胞儀檢驗，granulocyte及monocyte之PNH clone size均必須</w:t>
                  </w:r>
                  <w:proofErr w:type="gramStart"/>
                  <w:r w:rsidRPr="00B43921">
                    <w:rPr>
                      <w:rFonts w:ascii="標楷體" w:eastAsia="標楷體" w:hAnsi="標楷體" w:hint="eastAsia"/>
                      <w:kern w:val="0"/>
                      <w:sz w:val="22"/>
                    </w:rPr>
                    <w:t>≧</w:t>
                  </w:r>
                  <w:proofErr w:type="gramEnd"/>
                  <w:r w:rsidRPr="00B43921">
                    <w:rPr>
                      <w:rFonts w:ascii="標楷體" w:eastAsia="標楷體" w:hAnsi="標楷體"/>
                      <w:kern w:val="0"/>
                      <w:sz w:val="22"/>
                    </w:rPr>
                    <w:t>10% (必要)</w:t>
                  </w:r>
                </w:p>
                <w:p w14:paraId="26442379" w14:textId="77777777" w:rsidR="00AC1F12" w:rsidRPr="00E02860" w:rsidRDefault="00AC1F12" w:rsidP="00B43921">
                  <w:pPr>
                    <w:pStyle w:val="a4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napToGrid w:val="0"/>
                    <w:ind w:leftChars="0" w:left="426" w:hanging="426"/>
                    <w:jc w:val="both"/>
                    <w:rPr>
                      <w:rFonts w:eastAsia="標楷體"/>
                      <w:sz w:val="22"/>
                      <w:u w:val="single"/>
                    </w:rPr>
                  </w:pPr>
                  <w:r w:rsidRPr="00E02860">
                    <w:rPr>
                      <w:rFonts w:ascii="標楷體" w:eastAsia="標楷體" w:hAnsi="標楷體"/>
                      <w:kern w:val="0"/>
                      <w:sz w:val="22"/>
                    </w:rPr>
                    <w:t>□</w:t>
                  </w:r>
                  <w:r w:rsidRPr="00B43921">
                    <w:rPr>
                      <w:rFonts w:ascii="標楷體" w:eastAsia="標楷體" w:hAnsi="標楷體"/>
                      <w:kern w:val="0"/>
                      <w:sz w:val="22"/>
                    </w:rPr>
                    <w:t>基因檢</w:t>
                  </w:r>
                  <w:r w:rsidRPr="00E02860">
                    <w:rPr>
                      <w:rFonts w:eastAsia="標楷體"/>
                      <w:kern w:val="0"/>
                      <w:sz w:val="22"/>
                    </w:rPr>
                    <w:t>測</w:t>
                  </w:r>
                  <w:r w:rsidRPr="00E02860">
                    <w:rPr>
                      <w:rFonts w:eastAsia="標楷體"/>
                      <w:kern w:val="0"/>
                      <w:sz w:val="22"/>
                    </w:rPr>
                    <w:t>(</w:t>
                  </w:r>
                  <w:r w:rsidRPr="00E02860">
                    <w:rPr>
                      <w:rFonts w:eastAsia="標楷體"/>
                      <w:kern w:val="0"/>
                      <w:sz w:val="22"/>
                    </w:rPr>
                    <w:t>選擇性</w:t>
                  </w:r>
                  <w:r w:rsidRPr="00E02860">
                    <w:rPr>
                      <w:rFonts w:eastAsia="標楷體"/>
                      <w:kern w:val="0"/>
                      <w:sz w:val="22"/>
                    </w:rPr>
                    <w:t>)</w:t>
                  </w:r>
                  <w:r w:rsidRPr="00E02860">
                    <w:rPr>
                      <w:rFonts w:eastAsia="標楷體"/>
                      <w:kern w:val="0"/>
                      <w:sz w:val="22"/>
                    </w:rPr>
                    <w:t>：</w:t>
                  </w:r>
                  <w:r w:rsidRPr="00E02860">
                    <w:rPr>
                      <w:rFonts w:ascii="標楷體" w:eastAsia="標楷體" w:hAnsi="標楷體"/>
                      <w:kern w:val="0"/>
                      <w:sz w:val="22"/>
                    </w:rPr>
                    <w:t>□</w:t>
                  </w:r>
                  <w:r w:rsidRPr="00E02860">
                    <w:rPr>
                      <w:rFonts w:eastAsia="標楷體"/>
                      <w:kern w:val="0"/>
                      <w:sz w:val="22"/>
                    </w:rPr>
                    <w:t>PIG-A</w:t>
                  </w:r>
                  <w:r w:rsidRPr="00E02860">
                    <w:rPr>
                      <w:rFonts w:eastAsia="標楷體"/>
                      <w:kern w:val="0"/>
                      <w:sz w:val="22"/>
                    </w:rPr>
                    <w:t>基因</w:t>
                  </w:r>
                  <w:r w:rsidRPr="00E02860">
                    <w:rPr>
                      <w:rFonts w:eastAsia="標楷體"/>
                      <w:kern w:val="0"/>
                      <w:sz w:val="22"/>
                      <w:u w:val="single"/>
                    </w:rPr>
                    <w:t xml:space="preserve">          </w:t>
                  </w:r>
                  <w:r w:rsidRPr="00E02860">
                    <w:rPr>
                      <w:rFonts w:eastAsia="標楷體"/>
                      <w:kern w:val="0"/>
                      <w:sz w:val="22"/>
                    </w:rPr>
                    <w:t xml:space="preserve"> </w:t>
                  </w:r>
                  <w:r w:rsidRPr="00E02860">
                    <w:rPr>
                      <w:rFonts w:ascii="標楷體" w:eastAsia="標楷體" w:hAnsi="標楷體"/>
                      <w:kern w:val="0"/>
                      <w:sz w:val="22"/>
                    </w:rPr>
                    <w:t>□</w:t>
                  </w:r>
                  <w:r w:rsidRPr="00E02860">
                    <w:rPr>
                      <w:rFonts w:eastAsia="標楷體"/>
                      <w:kern w:val="0"/>
                      <w:sz w:val="22"/>
                    </w:rPr>
                    <w:t>其他</w:t>
                  </w:r>
                  <w:r w:rsidRPr="00E02860">
                    <w:rPr>
                      <w:rFonts w:eastAsia="標楷體"/>
                      <w:kern w:val="0"/>
                      <w:sz w:val="22"/>
                      <w:u w:val="single"/>
                    </w:rPr>
                    <w:t xml:space="preserve">              </w:t>
                  </w:r>
                </w:p>
              </w:txbxContent>
            </v:textbox>
          </v:shape>
        </w:pict>
      </w:r>
      <w:r>
        <w:rPr>
          <w:noProof/>
        </w:rPr>
        <w:pict w14:anchorId="69363EF2">
          <v:shape id="AutoShape 15" o:spid="_x0000_s1147" type="#_x0000_t32" style="position:absolute;margin-left:230.45pt;margin-top:.25pt;width:.3pt;height:17.7pt;z-index:2516684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<v:stroke endarrow="block"/>
          </v:shape>
        </w:pict>
      </w:r>
    </w:p>
    <w:p w14:paraId="2146148D" w14:textId="77777777" w:rsidR="00AC1F12" w:rsidRPr="002D03E2" w:rsidRDefault="00AC1F12" w:rsidP="00AC1F12"/>
    <w:p w14:paraId="188F3147" w14:textId="77777777" w:rsidR="00AC1F12" w:rsidRPr="002D03E2" w:rsidRDefault="00AC1F12" w:rsidP="00AC1F12"/>
    <w:p w14:paraId="48623248" w14:textId="77777777" w:rsidR="00AC1F12" w:rsidRPr="002D03E2" w:rsidRDefault="00AC1F12" w:rsidP="00AC1F12">
      <w:r>
        <w:rPr>
          <w:noProof/>
          <w:sz w:val="22"/>
        </w:rPr>
        <w:pict w14:anchorId="6119BF53">
          <v:shape id="_x0000_s1148" type="#_x0000_t32" style="position:absolute;margin-left:230.45pt;margin-top:9.5pt;width:0;height:14.3pt;z-index:25166950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<v:stroke endarrow="block"/>
          </v:shape>
        </w:pict>
      </w:r>
    </w:p>
    <w:p w14:paraId="7A2FC48D" w14:textId="77777777" w:rsidR="00AC1F12" w:rsidRPr="00E02860" w:rsidRDefault="00AC1F12" w:rsidP="00AC1F12">
      <w:pPr>
        <w:rPr>
          <w:sz w:val="22"/>
        </w:rPr>
      </w:pPr>
      <w:r>
        <w:rPr>
          <w:noProof/>
          <w:sz w:val="22"/>
        </w:rPr>
        <w:pict w14:anchorId="33CDC532">
          <v:shape id="_x0000_s1149" type="#_x0000_t202" style="position:absolute;margin-left:210.3pt;margin-top:6pt;width:39.4pt;height:22.85pt;z-index:251670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<v:textbox>
              <w:txbxContent>
                <w:p w14:paraId="1F11AEC1" w14:textId="77777777" w:rsidR="00AC1F12" w:rsidRPr="00D0587B" w:rsidRDefault="00AC1F12" w:rsidP="00AC1F1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確診</w:t>
                  </w:r>
                </w:p>
              </w:txbxContent>
            </v:textbox>
          </v:shape>
        </w:pict>
      </w:r>
    </w:p>
    <w:p w14:paraId="1594519B" w14:textId="77777777" w:rsidR="00AC1F12" w:rsidRPr="00E02860" w:rsidRDefault="00AC1F12" w:rsidP="00AC1F12">
      <w:pPr>
        <w:rPr>
          <w:sz w:val="22"/>
        </w:rPr>
      </w:pPr>
      <w:r>
        <w:rPr>
          <w:noProof/>
          <w:sz w:val="22"/>
        </w:rPr>
        <w:pict w14:anchorId="7812D42C">
          <v:group id="群組 24" o:spid="_x0000_s1137" style="position:absolute;margin-left:70.7pt;margin-top:9.3pt;width:424.5pt;height:54.35pt;z-index:251664384;mso-width-relative:margin;mso-height-relative:margin" coordsize="53918,6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">
            <v:line id="直線接點 33" o:spid="_x0000_s1138" style="position:absolute;visibility:visible" from="20099,0" to="20103,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<v:line id="直線接點 34" o:spid="_x0000_s1139" style="position:absolute;visibility:visible" from="5520,1390" to="34764,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<v:shape id="直線單箭頭接點 35" o:spid="_x0000_s1140" type="#_x0000_t32" style="position:absolute;left:5520;top:1390;width:0;height:206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<v:stroke endarrow="block"/>
            </v:shape>
            <v:shape id="直線單箭頭接點 36" o:spid="_x0000_s1141" type="#_x0000_t32" style="position:absolute;left:34764;top:1390;width:0;height:206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<v:stroke endarrow="block"/>
            </v:shape>
            <v:shape id="_x0000_s1142" type="#_x0000_t202" style="position:absolute;top:3443;width:10961;height:3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">
              <v:textbox style="mso-next-textbox:#_x0000_s1142;mso-fit-shape-to-text:t">
                <w:txbxContent>
                  <w:p w14:paraId="0469D4C5" w14:textId="77777777" w:rsidR="00AC1F12" w:rsidRPr="007E0BD0" w:rsidRDefault="00AC1F12" w:rsidP="00AC1F12">
                    <w:pPr>
                      <w:jc w:val="center"/>
                      <w:rPr>
                        <w:rFonts w:eastAsia="標楷體"/>
                      </w:rPr>
                    </w:pPr>
                    <w:r w:rsidRPr="00214099">
                      <w:rPr>
                        <w:rFonts w:ascii="標楷體" w:eastAsia="標楷體" w:hAnsi="標楷體"/>
                        <w:kern w:val="0"/>
                      </w:rPr>
                      <w:t>□</w:t>
                    </w:r>
                    <w:r w:rsidRPr="007E0BD0">
                      <w:rPr>
                        <w:rFonts w:eastAsia="標楷體"/>
                      </w:rPr>
                      <w:t>典型</w:t>
                    </w:r>
                    <w:r w:rsidRPr="007E0BD0">
                      <w:rPr>
                        <w:rFonts w:eastAsia="標楷體"/>
                      </w:rPr>
                      <w:t>PNH</w:t>
                    </w:r>
                  </w:p>
                </w:txbxContent>
              </v:textbox>
            </v:shape>
            <v:shape id="_x0000_s1143" type="#_x0000_t202" style="position:absolute;left:20100;top:3520;width:33818;height:3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">
              <v:textbox style="mso-next-textbox:#_x0000_s1143;mso-fit-shape-to-text:t">
                <w:txbxContent>
                  <w:p w14:paraId="6B1434F3" w14:textId="77777777" w:rsidR="00AC1F12" w:rsidRPr="007E0BD0" w:rsidRDefault="00AC1F12" w:rsidP="00AC1F12">
                    <w:pPr>
                      <w:jc w:val="center"/>
                      <w:rPr>
                        <w:rFonts w:eastAsia="標楷體"/>
                      </w:rPr>
                    </w:pPr>
                    <w:r w:rsidRPr="00214099">
                      <w:rPr>
                        <w:rFonts w:ascii="標楷體" w:eastAsia="標楷體" w:hAnsi="標楷體"/>
                        <w:kern w:val="0"/>
                      </w:rPr>
                      <w:t>□</w:t>
                    </w:r>
                    <w:r w:rsidRPr="007E0BD0">
                      <w:rPr>
                        <w:rFonts w:eastAsia="標楷體"/>
                      </w:rPr>
                      <w:t>PNH</w:t>
                    </w:r>
                    <w:r w:rsidRPr="007E0BD0">
                      <w:rPr>
                        <w:rFonts w:eastAsia="標楷體"/>
                      </w:rPr>
                      <w:t>合併骨髓病變</w:t>
                    </w:r>
                    <w:r w:rsidRPr="007E0BD0">
                      <w:rPr>
                        <w:rFonts w:eastAsia="標楷體"/>
                      </w:rPr>
                      <w:t>(Bone morrow disorder)</w:t>
                    </w:r>
                  </w:p>
                </w:txbxContent>
              </v:textbox>
            </v:shape>
          </v:group>
        </w:pict>
      </w:r>
    </w:p>
    <w:p w14:paraId="760B6EDD" w14:textId="77777777" w:rsidR="00AC1F12" w:rsidRPr="00E02860" w:rsidRDefault="00AC1F12" w:rsidP="00AC1F12">
      <w:pPr>
        <w:widowControl/>
        <w:snapToGrid w:val="0"/>
        <w:spacing w:afterLines="50" w:after="180"/>
        <w:rPr>
          <w:rFonts w:eastAsia="標楷體"/>
          <w:kern w:val="0"/>
          <w:sz w:val="28"/>
          <w:szCs w:val="32"/>
        </w:rPr>
      </w:pPr>
    </w:p>
    <w:p w14:paraId="2FA90009" w14:textId="77777777" w:rsidR="00AC1F12" w:rsidRPr="00E02860" w:rsidRDefault="00AC1F12" w:rsidP="00AC1F12">
      <w:pPr>
        <w:widowControl/>
        <w:snapToGrid w:val="0"/>
        <w:spacing w:afterLines="50" w:after="180"/>
        <w:rPr>
          <w:rFonts w:eastAsia="標楷體"/>
          <w:kern w:val="0"/>
          <w:sz w:val="28"/>
          <w:szCs w:val="32"/>
        </w:rPr>
      </w:pPr>
    </w:p>
    <w:p w14:paraId="0173148B" w14:textId="77777777" w:rsidR="00AC1F12" w:rsidRDefault="00AC1F12" w:rsidP="00AC1F12">
      <w:pPr>
        <w:widowControl/>
        <w:snapToGrid w:val="0"/>
        <w:spacing w:afterLines="50" w:after="180"/>
        <w:rPr>
          <w:rFonts w:eastAsia="標楷體"/>
          <w:kern w:val="0"/>
          <w:sz w:val="32"/>
          <w:szCs w:val="32"/>
        </w:rPr>
      </w:pPr>
      <w:r>
        <w:rPr>
          <w:noProof/>
        </w:rPr>
        <w:pict w14:anchorId="056280FE">
          <v:rect id="矩形 1" o:spid="_x0000_s1131" style="position:absolute;margin-left:107.95pt;margin-top:22.55pt;width:373.4pt;height:5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" filled="f" strokeweight="1pt">
            <v:stroke dashstyle="1 1"/>
            <v:textbox>
              <w:txbxContent>
                <w:p w14:paraId="01402EA4" w14:textId="77777777" w:rsidR="00AC1F12" w:rsidRPr="00941105" w:rsidRDefault="00AC1F12" w:rsidP="00AC1F12">
                  <w:pPr>
                    <w:snapToGrid w:val="0"/>
                    <w:spacing w:line="200" w:lineRule="exact"/>
                    <w:jc w:val="both"/>
                    <w:rPr>
                      <w:rFonts w:eastAsia="標楷體"/>
                      <w:sz w:val="18"/>
                      <w:szCs w:val="20"/>
                    </w:rPr>
                  </w:pPr>
                  <w:r w:rsidRPr="00941105">
                    <w:rPr>
                      <w:rFonts w:eastAsia="標楷體"/>
                      <w:sz w:val="18"/>
                      <w:szCs w:val="20"/>
                    </w:rPr>
                    <w:t>參考資料</w:t>
                  </w:r>
                </w:p>
                <w:p w14:paraId="1649ED79" w14:textId="77777777" w:rsidR="00AC1F12" w:rsidRPr="00941105" w:rsidRDefault="00AC1F12" w:rsidP="00AC1F12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200" w:lineRule="exact"/>
                    <w:ind w:left="142" w:hanging="142"/>
                    <w:jc w:val="both"/>
                    <w:rPr>
                      <w:rFonts w:eastAsia="標楷體"/>
                      <w:color w:val="0000FF"/>
                      <w:kern w:val="0"/>
                      <w:sz w:val="18"/>
                      <w:szCs w:val="20"/>
                    </w:rPr>
                  </w:pPr>
                  <w:r w:rsidRPr="00941105">
                    <w:rPr>
                      <w:rFonts w:eastAsia="標楷體"/>
                      <w:bCs/>
                      <w:kern w:val="0"/>
                      <w:sz w:val="18"/>
                      <w:szCs w:val="20"/>
                    </w:rPr>
                    <w:t xml:space="preserve">Guidelines for the treatment of Paroxysmal Nocturnal </w:t>
                  </w:r>
                  <w:proofErr w:type="spellStart"/>
                  <w:r w:rsidRPr="00941105">
                    <w:rPr>
                      <w:rFonts w:eastAsia="標楷體"/>
                      <w:bCs/>
                      <w:kern w:val="0"/>
                      <w:sz w:val="18"/>
                      <w:szCs w:val="20"/>
                    </w:rPr>
                    <w:t>Haemoglobinuria</w:t>
                  </w:r>
                  <w:proofErr w:type="spellEnd"/>
                  <w:r w:rsidRPr="00941105">
                    <w:rPr>
                      <w:rFonts w:eastAsia="標楷體"/>
                      <w:bCs/>
                      <w:kern w:val="0"/>
                      <w:sz w:val="18"/>
                      <w:szCs w:val="20"/>
                    </w:rPr>
                    <w:t xml:space="preserve"> (PNH) through the Life Saving Drugs Program. From Australian Government, Department of </w:t>
                  </w:r>
                  <w:proofErr w:type="gramStart"/>
                  <w:r w:rsidRPr="00941105">
                    <w:rPr>
                      <w:rFonts w:eastAsia="標楷體"/>
                      <w:bCs/>
                      <w:kern w:val="0"/>
                      <w:sz w:val="18"/>
                      <w:szCs w:val="20"/>
                    </w:rPr>
                    <w:t>Health</w:t>
                  </w:r>
                  <w:proofErr w:type="gramEnd"/>
                  <w:r w:rsidRPr="00941105">
                    <w:rPr>
                      <w:rFonts w:eastAsia="標楷體"/>
                      <w:bCs/>
                      <w:kern w:val="0"/>
                      <w:sz w:val="18"/>
                      <w:szCs w:val="20"/>
                    </w:rPr>
                    <w:t xml:space="preserve"> and Ageing.</w:t>
                  </w:r>
                </w:p>
                <w:p w14:paraId="2D27EEA9" w14:textId="77777777" w:rsidR="00AC1F12" w:rsidRPr="00941105" w:rsidRDefault="00AC1F12" w:rsidP="00AC1F12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200" w:lineRule="exact"/>
                    <w:ind w:left="142" w:hanging="142"/>
                    <w:jc w:val="both"/>
                    <w:rPr>
                      <w:rFonts w:eastAsia="標楷體"/>
                      <w:sz w:val="18"/>
                      <w:szCs w:val="20"/>
                    </w:rPr>
                  </w:pPr>
                  <w:r w:rsidRPr="00941105">
                    <w:rPr>
                      <w:rFonts w:eastAsia="標楷體"/>
                      <w:bCs/>
                      <w:kern w:val="0"/>
                      <w:sz w:val="18"/>
                      <w:szCs w:val="20"/>
                    </w:rPr>
                    <w:t>全民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>健康保險藥物給付項目及支付標準－第六編第八十三條「藥品給付規定」修正規定第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 xml:space="preserve">8 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>節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 xml:space="preserve"> 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>免疫製劑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 xml:space="preserve"> Immunologic agents</w:t>
                  </w:r>
                  <w:r w:rsidRPr="00941105">
                    <w:rPr>
                      <w:rFonts w:eastAsia="標楷體"/>
                      <w:color w:val="0000FF"/>
                      <w:kern w:val="0"/>
                      <w:sz w:val="18"/>
                      <w:szCs w:val="20"/>
                    </w:rPr>
                    <w:t xml:space="preserve"> 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>(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>自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>102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>年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>10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>月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>1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>日生效</w:t>
                  </w:r>
                  <w:r w:rsidRPr="00941105">
                    <w:rPr>
                      <w:rFonts w:eastAsia="標楷體"/>
                      <w:kern w:val="0"/>
                      <w:sz w:val="18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14:paraId="4F2A3C51" w14:textId="1ED55E24" w:rsidR="00331189" w:rsidRPr="00CC5CEA" w:rsidRDefault="00331189" w:rsidP="00CC5CEA"/>
    <w:sectPr w:rsidR="00331189" w:rsidRPr="00CC5CEA" w:rsidSect="002140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2C62" w14:textId="77777777" w:rsidR="00155552" w:rsidRDefault="00155552" w:rsidP="00331189">
      <w:r>
        <w:separator/>
      </w:r>
    </w:p>
  </w:endnote>
  <w:endnote w:type="continuationSeparator" w:id="0">
    <w:p w14:paraId="1C8A0FD8" w14:textId="77777777" w:rsidR="00155552" w:rsidRDefault="00155552" w:rsidP="0033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40BF" w14:textId="77777777" w:rsidR="00155552" w:rsidRDefault="00155552" w:rsidP="00331189">
      <w:r>
        <w:separator/>
      </w:r>
    </w:p>
  </w:footnote>
  <w:footnote w:type="continuationSeparator" w:id="0">
    <w:p w14:paraId="19A5B496" w14:textId="77777777" w:rsidR="00155552" w:rsidRDefault="00155552" w:rsidP="0033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F7D"/>
    <w:multiLevelType w:val="hybridMultilevel"/>
    <w:tmpl w:val="F20A119E"/>
    <w:lvl w:ilvl="0" w:tplc="2FECD2C0">
      <w:start w:val="1"/>
      <w:numFmt w:val="decimal"/>
      <w:suff w:val="space"/>
      <w:lvlText w:val="%1."/>
      <w:lvlJc w:val="left"/>
      <w:pPr>
        <w:ind w:left="170" w:hanging="17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37A3562"/>
    <w:multiLevelType w:val="hybridMultilevel"/>
    <w:tmpl w:val="CF1E6D06"/>
    <w:lvl w:ilvl="0" w:tplc="4F96804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353F90"/>
    <w:multiLevelType w:val="hybridMultilevel"/>
    <w:tmpl w:val="FC20FA7A"/>
    <w:lvl w:ilvl="0" w:tplc="A95CCE9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A23992"/>
    <w:multiLevelType w:val="hybridMultilevel"/>
    <w:tmpl w:val="1700B6E6"/>
    <w:lvl w:ilvl="0" w:tplc="40D0DA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5D4DEF"/>
    <w:multiLevelType w:val="hybridMultilevel"/>
    <w:tmpl w:val="0B28738C"/>
    <w:lvl w:ilvl="0" w:tplc="53009C2C">
      <w:start w:val="1"/>
      <w:numFmt w:val="decimal"/>
      <w:suff w:val="space"/>
      <w:lvlText w:val="%1."/>
      <w:lvlJc w:val="left"/>
      <w:pPr>
        <w:ind w:left="170" w:hanging="17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53D14FC"/>
    <w:multiLevelType w:val="hybridMultilevel"/>
    <w:tmpl w:val="E144A930"/>
    <w:lvl w:ilvl="0" w:tplc="1DA0E8DC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A87FB6"/>
    <w:multiLevelType w:val="hybridMultilevel"/>
    <w:tmpl w:val="F08E2AD2"/>
    <w:lvl w:ilvl="0" w:tplc="136A472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C97BFD"/>
    <w:multiLevelType w:val="hybridMultilevel"/>
    <w:tmpl w:val="E20A175C"/>
    <w:lvl w:ilvl="0" w:tplc="9E48C92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84925703">
    <w:abstractNumId w:val="5"/>
  </w:num>
  <w:num w:numId="2" w16cid:durableId="1730613490">
    <w:abstractNumId w:val="0"/>
  </w:num>
  <w:num w:numId="3" w16cid:durableId="971130119">
    <w:abstractNumId w:val="4"/>
  </w:num>
  <w:num w:numId="4" w16cid:durableId="1787188660">
    <w:abstractNumId w:val="7"/>
  </w:num>
  <w:num w:numId="5" w16cid:durableId="432407493">
    <w:abstractNumId w:val="2"/>
  </w:num>
  <w:num w:numId="6" w16cid:durableId="1393383147">
    <w:abstractNumId w:val="1"/>
  </w:num>
  <w:num w:numId="7" w16cid:durableId="1264266866">
    <w:abstractNumId w:val="3"/>
  </w:num>
  <w:num w:numId="8" w16cid:durableId="906839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099"/>
    <w:rsid w:val="000000CC"/>
    <w:rsid w:val="00041DB0"/>
    <w:rsid w:val="00067A3C"/>
    <w:rsid w:val="000D2026"/>
    <w:rsid w:val="000F7250"/>
    <w:rsid w:val="00102BD0"/>
    <w:rsid w:val="00155552"/>
    <w:rsid w:val="001637FE"/>
    <w:rsid w:val="00183000"/>
    <w:rsid w:val="00193B31"/>
    <w:rsid w:val="001C6370"/>
    <w:rsid w:val="00214099"/>
    <w:rsid w:val="002348EB"/>
    <w:rsid w:val="00242EB5"/>
    <w:rsid w:val="0025581F"/>
    <w:rsid w:val="00331189"/>
    <w:rsid w:val="00477C63"/>
    <w:rsid w:val="00495601"/>
    <w:rsid w:val="004E2F82"/>
    <w:rsid w:val="004F0868"/>
    <w:rsid w:val="005C0D9C"/>
    <w:rsid w:val="005F33E4"/>
    <w:rsid w:val="00645A52"/>
    <w:rsid w:val="006A7C56"/>
    <w:rsid w:val="007E0BD0"/>
    <w:rsid w:val="008207C1"/>
    <w:rsid w:val="00946CB8"/>
    <w:rsid w:val="009B75D0"/>
    <w:rsid w:val="009F706C"/>
    <w:rsid w:val="00A1114E"/>
    <w:rsid w:val="00A163B3"/>
    <w:rsid w:val="00A43B01"/>
    <w:rsid w:val="00AC1F12"/>
    <w:rsid w:val="00B12232"/>
    <w:rsid w:val="00B43921"/>
    <w:rsid w:val="00B50D15"/>
    <w:rsid w:val="00BD4748"/>
    <w:rsid w:val="00C76700"/>
    <w:rsid w:val="00C77F7E"/>
    <w:rsid w:val="00C8163A"/>
    <w:rsid w:val="00CC5CEA"/>
    <w:rsid w:val="00D765FF"/>
    <w:rsid w:val="00DA07BA"/>
    <w:rsid w:val="00DE3354"/>
    <w:rsid w:val="00E02860"/>
    <w:rsid w:val="00E36D5F"/>
    <w:rsid w:val="00E952D6"/>
    <w:rsid w:val="00EB5EBC"/>
    <w:rsid w:val="00EF094D"/>
    <w:rsid w:val="00FE2DB3"/>
    <w:rsid w:val="00FF5B2A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8" type="connector" idref="#_x0000_s1072"/>
        <o:r id="V:Rule9" type="connector" idref="#_x0000_s1091"/>
        <o:r id="V:Rule10" type="connector" idref="#_x0000_s1088"/>
        <o:r id="V:Rule11" type="connector" idref="#直線接點 33"/>
        <o:r id="V:Rule12" type="connector" idref="#直線單箭頭接點 36"/>
        <o:r id="V:Rule13" type="connector" idref="#_x0000_s1093"/>
        <o:r id="V:Rule14" type="connector" idref="#直線單箭頭接點 35"/>
        <o:r id="V:Rule15" type="connector" idref="#直線接點 34"/>
        <o:r id="V:Rule16" type="connector" idref="#_x0000_s1108"/>
        <o:r id="V:Rule17" type="connector" idref="#_x0000_s1128"/>
        <o:r id="V:Rule18" type="connector" idref="#_x0000_s1125"/>
        <o:r id="V:Rule19" type="connector" idref="#_x0000_s1115"/>
        <o:r id="V:Rule20" type="connector" idref="#直線接點 33"/>
        <o:r id="V:Rule21" type="connector" idref="#直線單箭頭接點 36"/>
        <o:r id="V:Rule22" type="connector" idref="#_x0000_s1127"/>
        <o:r id="V:Rule23" type="connector" idref="#直線單箭頭接點 35"/>
        <o:r id="V:Rule24" type="connector" idref="#直線接點 34"/>
        <o:r id="V:Rule25" type="connector" idref="#_x0000_s1124"/>
        <o:r id="V:Rule26" type="connector" idref="#_x0000_s1148"/>
        <o:r id="V:Rule27" type="connector" idref="#AutoShape 11"/>
        <o:r id="V:Rule28" type="connector" idref="#_x0000_s1135"/>
        <o:r id="V:Rule29" type="connector" idref="#直線接點 33"/>
        <o:r id="V:Rule30" type="connector" idref="#直線單箭頭接點 36"/>
        <o:r id="V:Rule31" type="connector" idref="#AutoShape 15"/>
        <o:r id="V:Rule32" type="connector" idref="#直線單箭頭接點 35"/>
        <o:r id="V:Rule33" type="connector" idref="#直線接點 34"/>
        <o:r id="V:Rule34" type="connector" idref="#_x0000_s1144"/>
      </o:rules>
    </o:shapelayout>
  </w:shapeDefaults>
  <w:decimalSymbol w:val="."/>
  <w:listSeparator w:val=","/>
  <w14:docId w14:val="78B6831A"/>
  <w15:chartTrackingRefBased/>
  <w15:docId w15:val="{57B3F92C-C32A-4632-9176-F5863B36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09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14099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2140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31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31189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331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31189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7670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7670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C642-B337-4826-9ED2-744D625C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送審資料表及審查基準表_16_陣發性夜間血紅素尿症(PNH)</dc:title>
  <dc:subject/>
  <dc:creator>陳璟函(Shari Chen)</dc:creator>
  <cp:keywords/>
  <dc:description/>
  <cp:lastModifiedBy>許雅雯(Linda Shiu)</cp:lastModifiedBy>
  <cp:revision>9</cp:revision>
  <cp:lastPrinted>2024-01-04T06:23:00Z</cp:lastPrinted>
  <dcterms:created xsi:type="dcterms:W3CDTF">2024-01-04T03:50:00Z</dcterms:created>
  <dcterms:modified xsi:type="dcterms:W3CDTF">2024-01-04T06:25:00Z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2024-01-04T03:51:02Z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8b893421-fc4a-49fc-be2b-d3ee68abddbb</vt:lpwstr>
  </property>
  <property fmtid="{D5CDD505-2E9C-101B-9397-08002B2CF9AE}" pid="8" name="MSIP_Label_755196ac-7daa-415d-ac3a-bda7dffaa0f9_ContentBits">
    <vt:lpwstr>0</vt:lpwstr>
  </property>
</Properties>
</file>