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EF6C" w14:textId="77777777" w:rsidR="007F32C2" w:rsidRPr="00B20F3E" w:rsidRDefault="007F32C2" w:rsidP="007F32C2">
      <w:pPr>
        <w:spacing w:line="400" w:lineRule="exact"/>
        <w:jc w:val="center"/>
        <w:rPr>
          <w:rFonts w:ascii="Times New Roman" w:eastAsia="標楷體" w:hAnsi="Times New Roman"/>
          <w:b/>
          <w:bCs/>
          <w:sz w:val="28"/>
          <w:szCs w:val="28"/>
        </w:rPr>
      </w:pPr>
      <w:r w:rsidRPr="00B20F3E">
        <w:rPr>
          <w:rFonts w:ascii="Times New Roman" w:eastAsia="標楷體" w:hAnsi="Times New Roman" w:hint="eastAsia"/>
          <w:b/>
          <w:bCs/>
          <w:sz w:val="28"/>
          <w:szCs w:val="28"/>
        </w:rPr>
        <w:t>衛生福利部國民</w:t>
      </w:r>
      <w:proofErr w:type="gramStart"/>
      <w:r w:rsidRPr="00B20F3E">
        <w:rPr>
          <w:rFonts w:ascii="Times New Roman" w:eastAsia="標楷體" w:hAnsi="Times New Roman" w:hint="eastAsia"/>
          <w:b/>
          <w:bCs/>
          <w:sz w:val="28"/>
          <w:szCs w:val="28"/>
        </w:rPr>
        <w:t>健康署</w:t>
      </w:r>
      <w:proofErr w:type="gramEnd"/>
      <w:r w:rsidRPr="00B20F3E">
        <w:rPr>
          <w:rFonts w:ascii="Times New Roman" w:eastAsia="標楷體" w:hAnsi="Times New Roman" w:hint="eastAsia"/>
          <w:b/>
          <w:bCs/>
          <w:sz w:val="28"/>
          <w:szCs w:val="28"/>
        </w:rPr>
        <w:t>「罕見疾病個案通報審查</w:t>
      </w:r>
      <w:r>
        <w:rPr>
          <w:rFonts w:ascii="Times New Roman" w:eastAsia="標楷體" w:hAnsi="Times New Roman" w:hint="eastAsia"/>
          <w:b/>
          <w:bCs/>
          <w:sz w:val="28"/>
          <w:szCs w:val="28"/>
        </w:rPr>
        <w:t>基準</w:t>
      </w:r>
      <w:r w:rsidRPr="00B20F3E">
        <w:rPr>
          <w:rFonts w:ascii="Times New Roman" w:eastAsia="標楷體" w:hAnsi="Times New Roman" w:hint="eastAsia"/>
          <w:b/>
          <w:bCs/>
          <w:sz w:val="28"/>
          <w:szCs w:val="28"/>
        </w:rPr>
        <w:t>機制」（</w:t>
      </w:r>
      <w:r w:rsidRPr="00B20F3E">
        <w:rPr>
          <w:rFonts w:ascii="Times New Roman" w:eastAsia="標楷體" w:hAnsi="Times New Roman"/>
          <w:b/>
          <w:sz w:val="28"/>
          <w:szCs w:val="28"/>
        </w:rPr>
        <w:t>送審資料表</w:t>
      </w:r>
      <w:r w:rsidRPr="00B20F3E">
        <w:rPr>
          <w:rFonts w:ascii="Times New Roman" w:eastAsia="標楷體" w:hAnsi="Times New Roman" w:hint="eastAsia"/>
          <w:b/>
          <w:bCs/>
          <w:sz w:val="28"/>
          <w:szCs w:val="28"/>
        </w:rPr>
        <w:t>）</w:t>
      </w:r>
    </w:p>
    <w:p w14:paraId="16B7E6A4" w14:textId="77777777" w:rsidR="007F32C2" w:rsidRPr="00B20F3E" w:rsidRDefault="007F32C2" w:rsidP="007F32C2">
      <w:pPr>
        <w:spacing w:line="400" w:lineRule="exact"/>
        <w:jc w:val="center"/>
        <w:rPr>
          <w:rFonts w:ascii="Times New Roman" w:eastAsia="標楷體" w:hAnsi="Times New Roman"/>
          <w:b/>
          <w:bCs/>
          <w:sz w:val="28"/>
          <w:szCs w:val="28"/>
        </w:rPr>
      </w:pPr>
      <w:proofErr w:type="gramStart"/>
      <w:r w:rsidRPr="00B20F3E">
        <w:rPr>
          <w:rFonts w:ascii="Times New Roman" w:eastAsia="標楷體" w:hAnsi="Times New Roman"/>
          <w:b/>
          <w:bCs/>
          <w:sz w:val="28"/>
          <w:szCs w:val="28"/>
        </w:rPr>
        <w:t>–</w:t>
      </w:r>
      <w:proofErr w:type="gramEnd"/>
      <w:r w:rsidRPr="00B20F3E">
        <w:rPr>
          <w:rFonts w:ascii="Times New Roman" w:eastAsia="標楷體" w:hAnsi="Times New Roman" w:hint="eastAsia"/>
          <w:b/>
          <w:bCs/>
          <w:sz w:val="28"/>
          <w:szCs w:val="28"/>
        </w:rPr>
        <w:t>磷脂</w:t>
      </w:r>
      <w:proofErr w:type="gramStart"/>
      <w:r w:rsidRPr="00B20F3E">
        <w:rPr>
          <w:rFonts w:ascii="Times New Roman" w:eastAsia="標楷體" w:hAnsi="Times New Roman" w:hint="eastAsia"/>
          <w:b/>
          <w:bCs/>
          <w:sz w:val="28"/>
          <w:szCs w:val="28"/>
        </w:rPr>
        <w:t>質脂解</w:t>
      </w:r>
      <w:proofErr w:type="gramEnd"/>
      <w:r w:rsidRPr="00B20F3E">
        <w:rPr>
          <w:rFonts w:ascii="Times New Roman" w:eastAsia="標楷體" w:hAnsi="Times New Roman" w:hint="eastAsia"/>
          <w:b/>
          <w:bCs/>
          <w:sz w:val="28"/>
          <w:szCs w:val="28"/>
        </w:rPr>
        <w:t>酶</w:t>
      </w:r>
      <w:r w:rsidRPr="00B20F3E">
        <w:rPr>
          <w:rFonts w:ascii="Times New Roman" w:eastAsia="標楷體" w:hAnsi="Times New Roman"/>
          <w:b/>
          <w:bCs/>
          <w:sz w:val="28"/>
          <w:szCs w:val="28"/>
        </w:rPr>
        <w:t>A2</w:t>
      </w:r>
      <w:r w:rsidRPr="00B20F3E">
        <w:rPr>
          <w:rFonts w:ascii="Times New Roman" w:eastAsia="標楷體" w:hAnsi="Times New Roman" w:hint="eastAsia"/>
          <w:b/>
          <w:bCs/>
          <w:sz w:val="28"/>
          <w:szCs w:val="28"/>
        </w:rPr>
        <w:t>關聯之神經退化性疾病</w:t>
      </w:r>
      <w:r w:rsidRPr="00B20F3E">
        <w:rPr>
          <w:rFonts w:ascii="Times New Roman" w:eastAsia="標楷體" w:hAnsi="Times New Roman" w:hint="eastAsia"/>
          <w:b/>
          <w:bCs/>
          <w:sz w:val="28"/>
          <w:szCs w:val="28"/>
        </w:rPr>
        <w:t xml:space="preserve"> </w:t>
      </w:r>
    </w:p>
    <w:p w14:paraId="2817E457" w14:textId="77777777" w:rsidR="007F32C2" w:rsidRPr="00B20F3E" w:rsidRDefault="007F32C2" w:rsidP="007F32C2">
      <w:pPr>
        <w:spacing w:line="400" w:lineRule="exact"/>
        <w:jc w:val="center"/>
        <w:rPr>
          <w:rFonts w:ascii="Times New Roman" w:eastAsia="標楷體" w:hAnsi="Times New Roman"/>
          <w:b/>
          <w:bCs/>
          <w:sz w:val="28"/>
          <w:szCs w:val="28"/>
        </w:rPr>
      </w:pPr>
      <w:r w:rsidRPr="00B20F3E">
        <w:rPr>
          <w:rFonts w:ascii="Times New Roman" w:eastAsia="標楷體" w:hAnsi="Times New Roman"/>
          <w:b/>
          <w:bCs/>
          <w:sz w:val="28"/>
          <w:szCs w:val="28"/>
        </w:rPr>
        <w:t>[Phospholipase A2-associated neurodegeneration</w:t>
      </w:r>
      <w:r>
        <w:rPr>
          <w:rFonts w:ascii="Times New Roman" w:eastAsia="標楷體" w:hAnsi="Times New Roman" w:hint="eastAsia"/>
          <w:b/>
          <w:bCs/>
          <w:sz w:val="28"/>
          <w:szCs w:val="28"/>
        </w:rPr>
        <w:t>,</w:t>
      </w:r>
      <w:r w:rsidRPr="00B20F3E">
        <w:rPr>
          <w:rFonts w:ascii="Times New Roman" w:eastAsia="標楷體" w:hAnsi="Times New Roman"/>
          <w:b/>
          <w:bCs/>
          <w:sz w:val="28"/>
          <w:szCs w:val="28"/>
        </w:rPr>
        <w:t xml:space="preserve"> </w:t>
      </w:r>
      <w:proofErr w:type="gramStart"/>
      <w:r w:rsidRPr="00B20F3E">
        <w:rPr>
          <w:rFonts w:ascii="Times New Roman" w:eastAsia="標楷體" w:hAnsi="Times New Roman"/>
          <w:b/>
          <w:bCs/>
          <w:sz w:val="28"/>
          <w:szCs w:val="28"/>
        </w:rPr>
        <w:t>PLAN ]</w:t>
      </w:r>
      <w:proofErr w:type="gramEnd"/>
      <w:r w:rsidRPr="00B20F3E">
        <w:rPr>
          <w:rFonts w:ascii="Times New Roman" w:eastAsia="標楷體" w:hAnsi="Times New Roman"/>
          <w:b/>
          <w:bCs/>
          <w:sz w:val="28"/>
          <w:szCs w:val="28"/>
        </w:rPr>
        <w:t xml:space="preserve"> – </w:t>
      </w:r>
    </w:p>
    <w:p w14:paraId="379FB160" w14:textId="77777777" w:rsidR="007F32C2" w:rsidRPr="00B20F3E" w:rsidRDefault="007F32C2" w:rsidP="007F32C2">
      <w:pPr>
        <w:spacing w:line="400" w:lineRule="exact"/>
        <w:jc w:val="center"/>
        <w:rPr>
          <w:rFonts w:ascii="Times New Roman" w:eastAsia="標楷體" w:hAnsi="Times New Roman"/>
          <w:b/>
          <w:sz w:val="28"/>
          <w:szCs w:val="28"/>
        </w:rPr>
      </w:pPr>
    </w:p>
    <w:p w14:paraId="04648C91" w14:textId="77777777" w:rsidR="007F32C2" w:rsidRPr="00B20F3E" w:rsidRDefault="007F32C2" w:rsidP="007F32C2">
      <w:pPr>
        <w:numPr>
          <w:ilvl w:val="3"/>
          <w:numId w:val="3"/>
        </w:numPr>
        <w:tabs>
          <w:tab w:val="num" w:pos="0"/>
          <w:tab w:val="num" w:pos="284"/>
        </w:tabs>
        <w:spacing w:line="400" w:lineRule="exact"/>
        <w:ind w:left="567" w:hanging="567"/>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病歷資料</w:t>
      </w:r>
      <w:r w:rsidRPr="00B20F3E">
        <w:rPr>
          <w:rFonts w:ascii="Times New Roman" w:eastAsia="標楷體" w:hAnsi="Times New Roman"/>
        </w:rPr>
        <w:t>(</w:t>
      </w:r>
      <w:r w:rsidRPr="00B20F3E">
        <w:rPr>
          <w:rFonts w:ascii="Times New Roman" w:eastAsia="標楷體" w:hAnsi="Times New Roman"/>
        </w:rPr>
        <w:t>包含臨床表徵、病程及發展里程碑等</w:t>
      </w:r>
      <w:r w:rsidRPr="00B20F3E">
        <w:rPr>
          <w:rFonts w:ascii="Times New Roman" w:eastAsia="標楷體" w:hAnsi="Times New Roman"/>
        </w:rPr>
        <w:t>)(</w:t>
      </w:r>
      <w:r w:rsidRPr="00B20F3E">
        <w:rPr>
          <w:rFonts w:ascii="Times New Roman" w:eastAsia="標楷體" w:hAnsi="Times New Roman"/>
        </w:rPr>
        <w:t>必要</w:t>
      </w:r>
      <w:r w:rsidRPr="00B20F3E">
        <w:rPr>
          <w:rFonts w:ascii="Times New Roman" w:eastAsia="標楷體" w:hAnsi="Times New Roman"/>
        </w:rPr>
        <w:t>)</w:t>
      </w:r>
    </w:p>
    <w:p w14:paraId="20713E3D" w14:textId="77777777" w:rsidR="007F32C2" w:rsidRPr="00B20F3E" w:rsidRDefault="007F32C2" w:rsidP="007F32C2">
      <w:pPr>
        <w:numPr>
          <w:ilvl w:val="3"/>
          <w:numId w:val="3"/>
        </w:numPr>
        <w:tabs>
          <w:tab w:val="num" w:pos="0"/>
          <w:tab w:val="num" w:pos="284"/>
        </w:tabs>
        <w:spacing w:line="400" w:lineRule="exact"/>
        <w:ind w:left="567" w:hanging="567"/>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影像報告</w:t>
      </w:r>
      <w:r w:rsidRPr="00B20F3E">
        <w:rPr>
          <w:rFonts w:ascii="Times New Roman" w:eastAsia="標楷體" w:hAnsi="Times New Roman"/>
        </w:rPr>
        <w:t>(</w:t>
      </w:r>
      <w:r w:rsidRPr="00B20F3E">
        <w:rPr>
          <w:rFonts w:ascii="Times New Roman" w:eastAsia="標楷體" w:hAnsi="Times New Roman"/>
        </w:rPr>
        <w:t>必要</w:t>
      </w:r>
      <w:r w:rsidRPr="00B20F3E">
        <w:rPr>
          <w:rFonts w:ascii="Times New Roman" w:eastAsia="標楷體" w:hAnsi="Times New Roman"/>
        </w:rPr>
        <w:t>)</w:t>
      </w:r>
    </w:p>
    <w:p w14:paraId="336D8067" w14:textId="77777777" w:rsidR="007F32C2" w:rsidRPr="00B20F3E" w:rsidRDefault="007F32C2" w:rsidP="007F32C2">
      <w:pPr>
        <w:numPr>
          <w:ilvl w:val="3"/>
          <w:numId w:val="3"/>
        </w:numPr>
        <w:tabs>
          <w:tab w:val="num" w:pos="0"/>
          <w:tab w:val="num" w:pos="284"/>
        </w:tabs>
        <w:spacing w:line="400" w:lineRule="exact"/>
        <w:ind w:left="567" w:hanging="567"/>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基因檢測報告</w:t>
      </w:r>
      <w:r w:rsidRPr="00B20F3E">
        <w:rPr>
          <w:rFonts w:ascii="Times New Roman" w:eastAsia="標楷體" w:hAnsi="Times New Roman"/>
        </w:rPr>
        <w:t>(</w:t>
      </w:r>
      <w:r w:rsidRPr="00B20F3E">
        <w:rPr>
          <w:rFonts w:ascii="Times New Roman" w:eastAsia="標楷體" w:hAnsi="Times New Roman"/>
        </w:rPr>
        <w:t>必要</w:t>
      </w:r>
      <w:r w:rsidRPr="00B20F3E">
        <w:rPr>
          <w:rFonts w:ascii="Times New Roman" w:eastAsia="標楷體" w:hAnsi="Times New Roman"/>
        </w:rPr>
        <w:t>)</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6731"/>
      </w:tblGrid>
      <w:tr w:rsidR="007F32C2" w:rsidRPr="00B20F3E" w14:paraId="1421C5DF" w14:textId="77777777" w:rsidTr="00D65D76">
        <w:trPr>
          <w:tblHeader/>
          <w:jc w:val="center"/>
        </w:trPr>
        <w:tc>
          <w:tcPr>
            <w:tcW w:w="2764" w:type="dxa"/>
            <w:tcBorders>
              <w:top w:val="single" w:sz="4" w:space="0" w:color="auto"/>
              <w:left w:val="single" w:sz="4" w:space="0" w:color="auto"/>
              <w:bottom w:val="single" w:sz="4" w:space="0" w:color="auto"/>
              <w:right w:val="single" w:sz="4" w:space="0" w:color="auto"/>
            </w:tcBorders>
            <w:hideMark/>
          </w:tcPr>
          <w:p w14:paraId="0AE3CBE2" w14:textId="77777777" w:rsidR="007F32C2" w:rsidRPr="00B20F3E" w:rsidRDefault="007F32C2" w:rsidP="00D65D76">
            <w:pPr>
              <w:jc w:val="center"/>
              <w:rPr>
                <w:rFonts w:ascii="Times New Roman" w:eastAsia="標楷體" w:hAnsi="Times New Roman"/>
                <w:b/>
              </w:rPr>
            </w:pPr>
            <w:r w:rsidRPr="00B20F3E">
              <w:rPr>
                <w:rFonts w:ascii="Times New Roman" w:eastAsia="標楷體" w:hAnsi="Times New Roman"/>
                <w:b/>
              </w:rPr>
              <w:t>項目</w:t>
            </w:r>
          </w:p>
        </w:tc>
        <w:tc>
          <w:tcPr>
            <w:tcW w:w="6731" w:type="dxa"/>
            <w:tcBorders>
              <w:top w:val="single" w:sz="4" w:space="0" w:color="auto"/>
              <w:left w:val="single" w:sz="4" w:space="0" w:color="auto"/>
              <w:bottom w:val="single" w:sz="4" w:space="0" w:color="auto"/>
              <w:right w:val="single" w:sz="4" w:space="0" w:color="auto"/>
            </w:tcBorders>
            <w:hideMark/>
          </w:tcPr>
          <w:p w14:paraId="6011561F" w14:textId="77777777" w:rsidR="007F32C2" w:rsidRPr="00B20F3E" w:rsidRDefault="007F32C2" w:rsidP="00D65D76">
            <w:pPr>
              <w:jc w:val="center"/>
              <w:rPr>
                <w:rFonts w:ascii="Times New Roman" w:eastAsia="標楷體" w:hAnsi="Times New Roman"/>
                <w:b/>
              </w:rPr>
            </w:pPr>
            <w:r w:rsidRPr="00B20F3E">
              <w:rPr>
                <w:rFonts w:ascii="Times New Roman" w:eastAsia="標楷體" w:hAnsi="Times New Roman"/>
                <w:b/>
              </w:rPr>
              <w:t>填寫部分</w:t>
            </w:r>
          </w:p>
        </w:tc>
      </w:tr>
      <w:tr w:rsidR="007F32C2" w:rsidRPr="00B20F3E" w14:paraId="2CE0E4FC" w14:textId="77777777" w:rsidTr="00D65D76">
        <w:trPr>
          <w:trHeight w:val="1134"/>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14:paraId="6EB0B0FC" w14:textId="77777777" w:rsidR="007F32C2" w:rsidRPr="00B20F3E" w:rsidRDefault="007F32C2" w:rsidP="00D65D76">
            <w:pPr>
              <w:numPr>
                <w:ilvl w:val="0"/>
                <w:numId w:val="4"/>
              </w:numPr>
              <w:jc w:val="both"/>
              <w:rPr>
                <w:rFonts w:ascii="Times New Roman" w:eastAsia="標楷體" w:hAnsi="Times New Roman"/>
                <w:b/>
              </w:rPr>
            </w:pPr>
            <w:r w:rsidRPr="00B20F3E">
              <w:rPr>
                <w:rFonts w:ascii="Times New Roman" w:eastAsia="標楷體" w:hAnsi="Times New Roman"/>
                <w:b/>
              </w:rPr>
              <w:t>病歷資料</w:t>
            </w:r>
            <w:r w:rsidRPr="00B20F3E">
              <w:rPr>
                <w:rFonts w:ascii="Times New Roman" w:eastAsia="標楷體" w:hAnsi="Times New Roman"/>
                <w:b/>
              </w:rPr>
              <w:t xml:space="preserve"> </w:t>
            </w:r>
            <w:r w:rsidRPr="00B20F3E">
              <w:rPr>
                <w:rFonts w:ascii="Times New Roman" w:eastAsia="標楷體" w:hAnsi="Times New Roman"/>
              </w:rPr>
              <w:t>(</w:t>
            </w:r>
            <w:r w:rsidRPr="00B20F3E">
              <w:rPr>
                <w:rFonts w:ascii="Times New Roman" w:eastAsia="標楷體" w:hAnsi="Times New Roman"/>
              </w:rPr>
              <w:t>必要</w:t>
            </w:r>
            <w:r w:rsidRPr="00B20F3E">
              <w:rPr>
                <w:rFonts w:ascii="Times New Roman" w:eastAsia="標楷體" w:hAnsi="Times New Roman"/>
              </w:rPr>
              <w:t>)</w:t>
            </w:r>
          </w:p>
        </w:tc>
        <w:tc>
          <w:tcPr>
            <w:tcW w:w="6731" w:type="dxa"/>
            <w:tcBorders>
              <w:top w:val="single" w:sz="4" w:space="0" w:color="auto"/>
              <w:left w:val="single" w:sz="4" w:space="0" w:color="auto"/>
              <w:bottom w:val="single" w:sz="4" w:space="0" w:color="auto"/>
              <w:right w:val="single" w:sz="4" w:space="0" w:color="auto"/>
            </w:tcBorders>
          </w:tcPr>
          <w:p w14:paraId="0B829D80" w14:textId="77777777" w:rsidR="007F32C2" w:rsidRPr="00B20F3E" w:rsidRDefault="007F32C2" w:rsidP="00D65D76">
            <w:pPr>
              <w:rPr>
                <w:rFonts w:ascii="Times New Roman" w:eastAsia="標楷體" w:hAnsi="Times New Roman"/>
              </w:rPr>
            </w:pPr>
          </w:p>
        </w:tc>
      </w:tr>
      <w:tr w:rsidR="007F32C2" w:rsidRPr="00B20F3E" w14:paraId="4A5A1243" w14:textId="77777777" w:rsidTr="00D65D76">
        <w:trPr>
          <w:trHeight w:val="1134"/>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14:paraId="4ABD54D7" w14:textId="77777777" w:rsidR="007F32C2" w:rsidRPr="00B20F3E" w:rsidRDefault="007F32C2" w:rsidP="00D65D76">
            <w:pPr>
              <w:jc w:val="both"/>
              <w:rPr>
                <w:rFonts w:ascii="Times New Roman" w:eastAsia="標楷體" w:hAnsi="Times New Roman"/>
                <w:b/>
              </w:rPr>
            </w:pPr>
            <w:r w:rsidRPr="00B20F3E">
              <w:rPr>
                <w:rFonts w:ascii="Times New Roman" w:eastAsia="標楷體" w:hAnsi="Times New Roman"/>
              </w:rPr>
              <w:t xml:space="preserve">1. </w:t>
            </w:r>
            <w:r w:rsidRPr="00B20F3E">
              <w:rPr>
                <w:rFonts w:ascii="Times New Roman" w:eastAsia="標楷體" w:hAnsi="Times New Roman"/>
              </w:rPr>
              <w:t>主要病史</w:t>
            </w:r>
          </w:p>
        </w:tc>
        <w:tc>
          <w:tcPr>
            <w:tcW w:w="6731" w:type="dxa"/>
            <w:tcBorders>
              <w:top w:val="single" w:sz="4" w:space="0" w:color="auto"/>
              <w:left w:val="single" w:sz="4" w:space="0" w:color="auto"/>
              <w:bottom w:val="single" w:sz="4" w:space="0" w:color="auto"/>
              <w:right w:val="single" w:sz="4" w:space="0" w:color="auto"/>
            </w:tcBorders>
          </w:tcPr>
          <w:p w14:paraId="5C6C85E9" w14:textId="77777777" w:rsidR="007F32C2" w:rsidRPr="00B20F3E" w:rsidRDefault="007F32C2" w:rsidP="00D65D76">
            <w:pPr>
              <w:rPr>
                <w:rFonts w:ascii="Times New Roman" w:eastAsia="標楷體" w:hAnsi="Times New Roman"/>
              </w:rPr>
            </w:pPr>
          </w:p>
        </w:tc>
      </w:tr>
      <w:tr w:rsidR="007F32C2" w:rsidRPr="00B20F3E" w14:paraId="2B934C5D" w14:textId="77777777" w:rsidTr="00D65D76">
        <w:trPr>
          <w:jc w:val="center"/>
        </w:trPr>
        <w:tc>
          <w:tcPr>
            <w:tcW w:w="2764" w:type="dxa"/>
            <w:tcBorders>
              <w:top w:val="single" w:sz="4" w:space="0" w:color="auto"/>
              <w:left w:val="single" w:sz="4" w:space="0" w:color="auto"/>
              <w:bottom w:val="single" w:sz="4" w:space="0" w:color="auto"/>
              <w:right w:val="single" w:sz="4" w:space="0" w:color="auto"/>
            </w:tcBorders>
            <w:vAlign w:val="center"/>
          </w:tcPr>
          <w:p w14:paraId="7C7B6D47" w14:textId="77777777" w:rsidR="007F32C2" w:rsidRPr="00B20F3E" w:rsidRDefault="007F32C2" w:rsidP="00D65D76">
            <w:pPr>
              <w:jc w:val="both"/>
              <w:rPr>
                <w:rFonts w:ascii="Times New Roman" w:eastAsia="標楷體" w:hAnsi="Times New Roman"/>
              </w:rPr>
            </w:pPr>
            <w:r w:rsidRPr="00B20F3E">
              <w:rPr>
                <w:rFonts w:ascii="Times New Roman" w:eastAsia="標楷體" w:hAnsi="Times New Roman"/>
              </w:rPr>
              <w:t xml:space="preserve">2. </w:t>
            </w:r>
            <w:r w:rsidRPr="00B20F3E">
              <w:rPr>
                <w:rFonts w:ascii="Times New Roman" w:eastAsia="標楷體" w:hAnsi="Times New Roman"/>
              </w:rPr>
              <w:t>臨床表徵</w:t>
            </w:r>
            <w:r w:rsidRPr="00B20F3E">
              <w:rPr>
                <w:rFonts w:ascii="Times New Roman" w:eastAsia="標楷體" w:hAnsi="Times New Roman"/>
              </w:rPr>
              <w:t xml:space="preserve"> </w:t>
            </w:r>
          </w:p>
          <w:p w14:paraId="261C2DF0" w14:textId="77777777" w:rsidR="007F32C2" w:rsidRPr="00B20F3E" w:rsidRDefault="007F32C2" w:rsidP="00D65D76">
            <w:pPr>
              <w:ind w:left="240" w:hangingChars="100" w:hanging="240"/>
              <w:jc w:val="both"/>
              <w:rPr>
                <w:rFonts w:ascii="Times New Roman" w:eastAsia="標楷體" w:hAnsi="Times New Roman"/>
                <w:b/>
              </w:rPr>
            </w:pPr>
            <w:r w:rsidRPr="00C1274C">
              <w:rPr>
                <w:rFonts w:ascii="標楷體" w:eastAsia="標楷體" w:hAnsi="標楷體"/>
              </w:rPr>
              <w:t>□</w:t>
            </w:r>
            <w:r w:rsidRPr="00B20F3E">
              <w:rPr>
                <w:rFonts w:ascii="Times New Roman" w:eastAsia="標楷體" w:hAnsi="Times New Roman"/>
                <w:bCs/>
              </w:rPr>
              <w:t>嬰兒神經</w:t>
            </w:r>
            <w:proofErr w:type="gramStart"/>
            <w:r w:rsidRPr="00B20F3E">
              <w:rPr>
                <w:rFonts w:ascii="Times New Roman" w:eastAsia="標楷體" w:hAnsi="Times New Roman"/>
                <w:bCs/>
              </w:rPr>
              <w:t>軸突失養症</w:t>
            </w:r>
            <w:proofErr w:type="gramEnd"/>
            <w:r w:rsidRPr="00B20F3E">
              <w:rPr>
                <w:rFonts w:ascii="Times New Roman" w:eastAsia="標楷體" w:hAnsi="Times New Roman"/>
                <w:bCs/>
              </w:rPr>
              <w:t xml:space="preserve"> (Infantile neuroaxonal dystrophy; INAD)</w:t>
            </w:r>
            <w:r>
              <w:rPr>
                <w:rFonts w:ascii="Times New Roman" w:eastAsia="標楷體" w:hAnsi="Times New Roman"/>
                <w:bCs/>
              </w:rPr>
              <w:br/>
            </w:r>
            <w:r w:rsidRPr="00B20F3E">
              <w:rPr>
                <w:rFonts w:ascii="Times New Roman" w:eastAsia="標楷體" w:hAnsi="Times New Roman"/>
                <w:bCs/>
              </w:rPr>
              <w:t>[</w:t>
            </w:r>
            <w:r w:rsidRPr="00B20F3E">
              <w:rPr>
                <w:rFonts w:ascii="Times New Roman" w:eastAsia="標楷體" w:hAnsi="Times New Roman"/>
                <w:bCs/>
              </w:rPr>
              <w:t>發病年齡，</w:t>
            </w:r>
            <w:r w:rsidRPr="00B20F3E">
              <w:rPr>
                <w:rFonts w:ascii="Times New Roman" w:eastAsia="標楷體" w:hAnsi="Times New Roman"/>
                <w:bCs/>
              </w:rPr>
              <w:t xml:space="preserve"> 6</w:t>
            </w:r>
            <w:r w:rsidRPr="00B20F3E">
              <w:rPr>
                <w:rFonts w:ascii="Times New Roman" w:eastAsia="標楷體" w:hAnsi="Times New Roman"/>
                <w:bCs/>
              </w:rPr>
              <w:t>個月大到</w:t>
            </w:r>
            <w:r w:rsidRPr="00B20F3E">
              <w:rPr>
                <w:rFonts w:ascii="Times New Roman" w:eastAsia="標楷體" w:hAnsi="Times New Roman"/>
                <w:bCs/>
              </w:rPr>
              <w:t>3</w:t>
            </w:r>
            <w:r w:rsidRPr="00B20F3E">
              <w:rPr>
                <w:rFonts w:ascii="Times New Roman" w:eastAsia="標楷體" w:hAnsi="Times New Roman"/>
                <w:bCs/>
              </w:rPr>
              <w:t>歲間</w:t>
            </w:r>
            <w:r w:rsidRPr="00B20F3E">
              <w:rPr>
                <w:rFonts w:ascii="Times New Roman" w:eastAsia="標楷體" w:hAnsi="Times New Roman"/>
                <w:bCs/>
              </w:rPr>
              <w:t>]</w:t>
            </w:r>
          </w:p>
        </w:tc>
        <w:tc>
          <w:tcPr>
            <w:tcW w:w="6731" w:type="dxa"/>
            <w:tcBorders>
              <w:top w:val="single" w:sz="4" w:space="0" w:color="auto"/>
              <w:left w:val="single" w:sz="4" w:space="0" w:color="auto"/>
              <w:bottom w:val="single" w:sz="4" w:space="0" w:color="auto"/>
              <w:right w:val="single" w:sz="4" w:space="0" w:color="auto"/>
            </w:tcBorders>
            <w:hideMark/>
          </w:tcPr>
          <w:p w14:paraId="221B0E74" w14:textId="77777777" w:rsidR="007F32C2" w:rsidRPr="00B20F3E" w:rsidRDefault="007F32C2" w:rsidP="00D65D76">
            <w:pPr>
              <w:rPr>
                <w:rFonts w:ascii="Times New Roman" w:eastAsia="標楷體" w:hAnsi="Times New Roman"/>
              </w:rPr>
            </w:pPr>
            <w:r w:rsidRPr="00B20F3E">
              <w:rPr>
                <w:rFonts w:ascii="Times New Roman" w:eastAsia="標楷體" w:hAnsi="Times New Roman"/>
              </w:rPr>
              <w:t>臨床表徵，完全符合下列四項：</w:t>
            </w:r>
          </w:p>
          <w:p w14:paraId="03064FD0" w14:textId="77777777" w:rsidR="007F32C2" w:rsidRPr="00B20F3E" w:rsidRDefault="007F32C2" w:rsidP="00D65D76">
            <w:pPr>
              <w:ind w:left="240" w:hangingChars="100" w:hanging="240"/>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發病前，發展里程碑為正常。</w:t>
            </w:r>
          </w:p>
          <w:p w14:paraId="24307F9C" w14:textId="77777777" w:rsidR="007F32C2" w:rsidRPr="00B20F3E" w:rsidRDefault="007F32C2" w:rsidP="00D65D76">
            <w:pPr>
              <w:ind w:left="240" w:hangingChars="100" w:hanging="240"/>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發病後，開始出現精神運動功能退化或全面性發展遲緩，進而出現漸進型認知能力退化，病程進展快速。</w:t>
            </w:r>
          </w:p>
          <w:p w14:paraId="739C3B1E" w14:textId="77777777" w:rsidR="007F32C2" w:rsidRPr="00B20F3E" w:rsidRDefault="007F32C2" w:rsidP="00D65D76">
            <w:pPr>
              <w:ind w:left="240" w:hangingChars="100" w:hanging="240"/>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神經學檢查顯示軀幹</w:t>
            </w:r>
            <w:proofErr w:type="gramStart"/>
            <w:r w:rsidRPr="00B20F3E">
              <w:rPr>
                <w:rFonts w:ascii="Times New Roman" w:eastAsia="標楷體" w:hAnsi="Times New Roman"/>
              </w:rPr>
              <w:t>肌</w:t>
            </w:r>
            <w:proofErr w:type="gramEnd"/>
            <w:r w:rsidRPr="00B20F3E">
              <w:rPr>
                <w:rFonts w:ascii="Times New Roman" w:eastAsia="標楷體" w:hAnsi="Times New Roman"/>
              </w:rPr>
              <w:t>張力低下、</w:t>
            </w:r>
            <w:proofErr w:type="gramStart"/>
            <w:r w:rsidRPr="00B20F3E">
              <w:rPr>
                <w:rFonts w:ascii="Times New Roman" w:eastAsia="標楷體" w:hAnsi="Times New Roman"/>
              </w:rPr>
              <w:t>小腦性共濟</w:t>
            </w:r>
            <w:proofErr w:type="gramEnd"/>
            <w:r w:rsidRPr="00B20F3E">
              <w:rPr>
                <w:rFonts w:ascii="Times New Roman" w:eastAsia="標楷體" w:hAnsi="Times New Roman"/>
              </w:rPr>
              <w:t>失調、嚴重痙攣、漸進型痙攣性四肢麻痺、周邊神經病變及深層肌腱反射由發病初期的反射增強進展至反射消失。</w:t>
            </w:r>
          </w:p>
          <w:p w14:paraId="4B94EEA0" w14:textId="77777777" w:rsidR="007F32C2" w:rsidRPr="00B20F3E" w:rsidRDefault="007F32C2" w:rsidP="00D65D76">
            <w:pPr>
              <w:ind w:left="240" w:hangingChars="100" w:hanging="240"/>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視覺障礙、斜視、眼球震顫及視神經萎縮，視覺誘發電位異常。</w:t>
            </w:r>
          </w:p>
        </w:tc>
      </w:tr>
      <w:tr w:rsidR="007F32C2" w:rsidRPr="00B20F3E" w14:paraId="4D4E1535" w14:textId="77777777" w:rsidTr="00D65D76">
        <w:trPr>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14:paraId="4CE55643" w14:textId="77777777" w:rsidR="007F32C2" w:rsidRPr="00B20F3E" w:rsidRDefault="007F32C2" w:rsidP="00D65D76">
            <w:pPr>
              <w:ind w:left="240" w:hangingChars="100" w:hanging="240"/>
              <w:jc w:val="both"/>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非典型神經</w:t>
            </w:r>
            <w:proofErr w:type="gramStart"/>
            <w:r w:rsidRPr="00B20F3E">
              <w:rPr>
                <w:rFonts w:ascii="Times New Roman" w:eastAsia="標楷體" w:hAnsi="Times New Roman"/>
              </w:rPr>
              <w:t>軸突失養症</w:t>
            </w:r>
            <w:proofErr w:type="gramEnd"/>
            <w:r w:rsidRPr="00B20F3E">
              <w:rPr>
                <w:rFonts w:ascii="Times New Roman" w:eastAsia="標楷體" w:hAnsi="Times New Roman"/>
              </w:rPr>
              <w:t xml:space="preserve"> (Atypical neuroaxonal dystrophy; </w:t>
            </w:r>
            <w:r w:rsidRPr="00C1274C">
              <w:rPr>
                <w:rFonts w:ascii="Times New Roman" w:eastAsia="標楷體" w:hAnsi="Times New Roman"/>
                <w:bCs/>
              </w:rPr>
              <w:t>Atypical</w:t>
            </w:r>
            <w:r w:rsidRPr="00B20F3E">
              <w:rPr>
                <w:rFonts w:ascii="Times New Roman" w:eastAsia="標楷體" w:hAnsi="Times New Roman"/>
              </w:rPr>
              <w:t xml:space="preserve"> NAD)</w:t>
            </w:r>
            <w:r>
              <w:rPr>
                <w:rFonts w:ascii="Times New Roman" w:eastAsia="標楷體" w:hAnsi="Times New Roman"/>
              </w:rPr>
              <w:br/>
            </w:r>
            <w:r w:rsidRPr="00B20F3E">
              <w:rPr>
                <w:rFonts w:ascii="Times New Roman" w:eastAsia="標楷體" w:hAnsi="Times New Roman"/>
              </w:rPr>
              <w:t>[</w:t>
            </w:r>
            <w:r w:rsidRPr="00B20F3E">
              <w:rPr>
                <w:rFonts w:ascii="Times New Roman" w:eastAsia="標楷體" w:hAnsi="Times New Roman"/>
              </w:rPr>
              <w:t>發病年齡，</w:t>
            </w:r>
            <w:r w:rsidRPr="00B20F3E">
              <w:rPr>
                <w:rFonts w:ascii="Times New Roman" w:eastAsia="標楷體" w:hAnsi="Times New Roman"/>
              </w:rPr>
              <w:t xml:space="preserve"> 1.5</w:t>
            </w:r>
            <w:r w:rsidRPr="00B20F3E">
              <w:rPr>
                <w:rFonts w:ascii="Times New Roman" w:eastAsia="標楷體" w:hAnsi="Times New Roman"/>
              </w:rPr>
              <w:t>歲至十幾歲間</w:t>
            </w:r>
            <w:r w:rsidRPr="00B20F3E">
              <w:rPr>
                <w:rFonts w:ascii="Times New Roman" w:eastAsia="標楷體" w:hAnsi="Times New Roman"/>
              </w:rPr>
              <w:t>]</w:t>
            </w:r>
          </w:p>
        </w:tc>
        <w:tc>
          <w:tcPr>
            <w:tcW w:w="6731" w:type="dxa"/>
            <w:tcBorders>
              <w:top w:val="single" w:sz="4" w:space="0" w:color="auto"/>
              <w:left w:val="single" w:sz="4" w:space="0" w:color="auto"/>
              <w:bottom w:val="single" w:sz="4" w:space="0" w:color="auto"/>
              <w:right w:val="single" w:sz="4" w:space="0" w:color="auto"/>
            </w:tcBorders>
            <w:hideMark/>
          </w:tcPr>
          <w:p w14:paraId="152B3750" w14:textId="77777777" w:rsidR="007F32C2" w:rsidRPr="00B20F3E" w:rsidRDefault="007F32C2" w:rsidP="00D65D76">
            <w:pPr>
              <w:rPr>
                <w:rFonts w:ascii="Times New Roman" w:eastAsia="標楷體" w:hAnsi="Times New Roman"/>
              </w:rPr>
            </w:pPr>
            <w:r w:rsidRPr="00B20F3E">
              <w:rPr>
                <w:rFonts w:ascii="Times New Roman" w:eastAsia="標楷體" w:hAnsi="Times New Roman"/>
              </w:rPr>
              <w:t>臨床表徵，完全符合下列四項：</w:t>
            </w:r>
          </w:p>
          <w:p w14:paraId="35F5ABEA" w14:textId="77777777" w:rsidR="007F32C2" w:rsidRPr="00B20F3E" w:rsidRDefault="007F32C2" w:rsidP="00D65D76">
            <w:pPr>
              <w:ind w:left="240" w:hangingChars="100" w:hanging="240"/>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發病前，發展里程碑為正常。</w:t>
            </w:r>
          </w:p>
          <w:p w14:paraId="2CD0FE29" w14:textId="77777777" w:rsidR="007F32C2" w:rsidRPr="00B20F3E" w:rsidRDefault="007F32C2" w:rsidP="00D65D76">
            <w:pPr>
              <w:ind w:left="240" w:hangingChars="100" w:hanging="240"/>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發病後，開始出現步態不穩、共濟失調、語言發展遲緩及自閉症表現，常合併精神及行為問題如衝動控制不佳、專注力低下、過動及情緒不穩等，病程進展速度較慢。</w:t>
            </w:r>
          </w:p>
          <w:p w14:paraId="68B32FAD" w14:textId="77777777" w:rsidR="007F32C2" w:rsidRPr="00B20F3E" w:rsidRDefault="007F32C2" w:rsidP="00D65D76">
            <w:pPr>
              <w:ind w:left="240" w:hangingChars="100" w:hanging="240"/>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神經學檢查顯示</w:t>
            </w:r>
            <w:proofErr w:type="gramStart"/>
            <w:r w:rsidRPr="00B20F3E">
              <w:rPr>
                <w:rFonts w:ascii="Times New Roman" w:eastAsia="標楷體" w:hAnsi="Times New Roman"/>
              </w:rPr>
              <w:t>肌</w:t>
            </w:r>
            <w:proofErr w:type="gramEnd"/>
            <w:r w:rsidRPr="00B20F3E">
              <w:rPr>
                <w:rFonts w:ascii="Times New Roman" w:eastAsia="標楷體" w:hAnsi="Times New Roman"/>
              </w:rPr>
              <w:t>張力不全及痙攣性四肢麻痺。</w:t>
            </w:r>
          </w:p>
          <w:p w14:paraId="3D38F64F" w14:textId="77777777" w:rsidR="007F32C2" w:rsidRPr="00B20F3E" w:rsidRDefault="007F32C2" w:rsidP="00D65D76">
            <w:pPr>
              <w:ind w:left="240" w:hangingChars="100" w:hanging="240"/>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視覺障礙、斜視、眼球震顫或視神經萎縮。</w:t>
            </w:r>
          </w:p>
        </w:tc>
      </w:tr>
      <w:tr w:rsidR="007F32C2" w:rsidRPr="00B20F3E" w14:paraId="3F49F2C1" w14:textId="77777777" w:rsidTr="00D65D76">
        <w:trPr>
          <w:trHeight w:val="2179"/>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14:paraId="47906A4B" w14:textId="77777777" w:rsidR="007F32C2" w:rsidRPr="00B20F3E" w:rsidRDefault="007F32C2" w:rsidP="00D65D76">
            <w:pPr>
              <w:ind w:left="240" w:hangingChars="100" w:hanging="240"/>
              <w:jc w:val="both"/>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rPr>
              <w:t>PLA2G6</w:t>
            </w:r>
            <w:r w:rsidRPr="00B20F3E">
              <w:rPr>
                <w:rFonts w:ascii="Times New Roman" w:eastAsia="標楷體" w:hAnsi="Times New Roman"/>
              </w:rPr>
              <w:t>相關</w:t>
            </w:r>
            <w:proofErr w:type="gramStart"/>
            <w:r w:rsidRPr="00B20F3E">
              <w:rPr>
                <w:rFonts w:ascii="Times New Roman" w:eastAsia="標楷體" w:hAnsi="Times New Roman"/>
              </w:rPr>
              <w:t>肌</w:t>
            </w:r>
            <w:proofErr w:type="gramEnd"/>
            <w:r w:rsidRPr="00B20F3E">
              <w:rPr>
                <w:rFonts w:ascii="Times New Roman" w:eastAsia="標楷體" w:hAnsi="Times New Roman"/>
              </w:rPr>
              <w:t>張力不全</w:t>
            </w:r>
            <w:r w:rsidRPr="00B20F3E">
              <w:rPr>
                <w:rFonts w:ascii="Times New Roman" w:eastAsia="標楷體" w:hAnsi="Times New Roman"/>
              </w:rPr>
              <w:t>-</w:t>
            </w:r>
            <w:r w:rsidRPr="00B20F3E">
              <w:rPr>
                <w:rFonts w:ascii="Times New Roman" w:eastAsia="標楷體" w:hAnsi="Times New Roman"/>
              </w:rPr>
              <w:t>巴金森症候群</w:t>
            </w:r>
            <w:r w:rsidRPr="00B20F3E">
              <w:rPr>
                <w:rFonts w:ascii="Times New Roman" w:eastAsia="標楷體" w:hAnsi="Times New Roman"/>
              </w:rPr>
              <w:t>(PLA2G6-related dystonia-parkinsonism syndrome)</w:t>
            </w:r>
            <w:r>
              <w:rPr>
                <w:rFonts w:ascii="Times New Roman" w:eastAsia="標楷體" w:hAnsi="Times New Roman"/>
              </w:rPr>
              <w:br/>
            </w:r>
            <w:r w:rsidRPr="00B20F3E">
              <w:rPr>
                <w:rFonts w:ascii="Times New Roman" w:eastAsia="標楷體" w:hAnsi="Times New Roman"/>
              </w:rPr>
              <w:t>[</w:t>
            </w:r>
            <w:r w:rsidRPr="00B20F3E">
              <w:rPr>
                <w:rFonts w:ascii="Times New Roman" w:eastAsia="標楷體" w:hAnsi="Times New Roman"/>
              </w:rPr>
              <w:t>發病年齡，兒童期至成年</w:t>
            </w:r>
            <w:r w:rsidRPr="00B20F3E">
              <w:rPr>
                <w:rFonts w:ascii="Times New Roman" w:eastAsia="標楷體" w:hAnsi="Times New Roman"/>
              </w:rPr>
              <w:t xml:space="preserve">] </w:t>
            </w:r>
          </w:p>
        </w:tc>
        <w:tc>
          <w:tcPr>
            <w:tcW w:w="6731" w:type="dxa"/>
            <w:tcBorders>
              <w:top w:val="single" w:sz="4" w:space="0" w:color="auto"/>
              <w:left w:val="single" w:sz="4" w:space="0" w:color="auto"/>
              <w:bottom w:val="single" w:sz="4" w:space="0" w:color="auto"/>
              <w:right w:val="single" w:sz="4" w:space="0" w:color="auto"/>
            </w:tcBorders>
            <w:hideMark/>
          </w:tcPr>
          <w:p w14:paraId="0A4AA97F" w14:textId="77777777" w:rsidR="007F32C2" w:rsidRPr="00B20F3E" w:rsidRDefault="007F32C2" w:rsidP="00D65D76">
            <w:pPr>
              <w:rPr>
                <w:rFonts w:ascii="Times New Roman" w:eastAsia="標楷體" w:hAnsi="Times New Roman"/>
                <w:bCs/>
              </w:rPr>
            </w:pPr>
            <w:r w:rsidRPr="00B20F3E">
              <w:rPr>
                <w:rFonts w:ascii="Times New Roman" w:eastAsia="標楷體" w:hAnsi="Times New Roman"/>
                <w:bCs/>
              </w:rPr>
              <w:t>臨床表徵，完全符合下列四項：</w:t>
            </w:r>
          </w:p>
          <w:p w14:paraId="6D553657" w14:textId="77777777" w:rsidR="007F32C2" w:rsidRPr="00C1274C" w:rsidRDefault="007F32C2" w:rsidP="00D65D76">
            <w:pPr>
              <w:ind w:left="240" w:hangingChars="100" w:hanging="240"/>
              <w:rPr>
                <w:rFonts w:ascii="Times New Roman" w:eastAsia="標楷體" w:hAnsi="Times New Roman"/>
              </w:rPr>
            </w:pPr>
            <w:r w:rsidRPr="00C1274C">
              <w:rPr>
                <w:rFonts w:ascii="標楷體" w:eastAsia="標楷體" w:hAnsi="標楷體"/>
              </w:rPr>
              <w:t>□</w:t>
            </w:r>
            <w:r w:rsidRPr="00B20F3E">
              <w:rPr>
                <w:rFonts w:ascii="Times New Roman" w:eastAsia="標楷體" w:hAnsi="Times New Roman"/>
                <w:bCs/>
              </w:rPr>
              <w:t>發病前，發</w:t>
            </w:r>
            <w:r w:rsidRPr="00C1274C">
              <w:rPr>
                <w:rFonts w:ascii="Times New Roman" w:eastAsia="標楷體" w:hAnsi="Times New Roman"/>
              </w:rPr>
              <w:t>展里程碑為正常。</w:t>
            </w:r>
          </w:p>
          <w:p w14:paraId="79129333" w14:textId="77777777" w:rsidR="007F32C2" w:rsidRPr="00C1274C" w:rsidRDefault="007F32C2" w:rsidP="00D65D76">
            <w:pPr>
              <w:ind w:left="240" w:hangingChars="100" w:hanging="240"/>
              <w:rPr>
                <w:rFonts w:ascii="Times New Roman" w:eastAsia="標楷體" w:hAnsi="Times New Roman"/>
              </w:rPr>
            </w:pPr>
            <w:r w:rsidRPr="00C1274C">
              <w:rPr>
                <w:rFonts w:ascii="標楷體" w:eastAsia="標楷體" w:hAnsi="標楷體"/>
              </w:rPr>
              <w:t>□</w:t>
            </w:r>
            <w:r w:rsidRPr="00C1274C">
              <w:rPr>
                <w:rFonts w:ascii="Times New Roman" w:eastAsia="標楷體" w:hAnsi="Times New Roman"/>
              </w:rPr>
              <w:t>發病後，開始出現顫抖、肢體僵硬、肌張力不全、步態不穩、姿態不穩、運動功能減退、認知能力退化及精神行為問題等巴金森症候群症狀。</w:t>
            </w:r>
          </w:p>
          <w:p w14:paraId="58A6056F" w14:textId="77777777" w:rsidR="007F32C2" w:rsidRPr="00C1274C" w:rsidRDefault="007F32C2" w:rsidP="00D65D76">
            <w:pPr>
              <w:ind w:left="240" w:hangingChars="100" w:hanging="240"/>
              <w:rPr>
                <w:rFonts w:ascii="Times New Roman" w:eastAsia="標楷體" w:hAnsi="Times New Roman"/>
              </w:rPr>
            </w:pPr>
            <w:r w:rsidRPr="00C1274C">
              <w:rPr>
                <w:rFonts w:ascii="標楷體" w:eastAsia="標楷體" w:hAnsi="標楷體"/>
              </w:rPr>
              <w:t>□</w:t>
            </w:r>
            <w:r w:rsidRPr="00C1274C">
              <w:rPr>
                <w:rFonts w:ascii="Times New Roman" w:eastAsia="標楷體" w:hAnsi="Times New Roman"/>
              </w:rPr>
              <w:t>神經學檢查顯示</w:t>
            </w:r>
            <w:proofErr w:type="gramStart"/>
            <w:r w:rsidRPr="00C1274C">
              <w:rPr>
                <w:rFonts w:ascii="Times New Roman" w:eastAsia="標楷體" w:hAnsi="Times New Roman"/>
              </w:rPr>
              <w:t>肌</w:t>
            </w:r>
            <w:proofErr w:type="gramEnd"/>
            <w:r w:rsidRPr="00C1274C">
              <w:rPr>
                <w:rFonts w:ascii="Times New Roman" w:eastAsia="標楷體" w:hAnsi="Times New Roman"/>
              </w:rPr>
              <w:t>張力不全及痙攣性四肢麻痺。</w:t>
            </w:r>
          </w:p>
          <w:p w14:paraId="742B618A" w14:textId="77777777" w:rsidR="007F32C2" w:rsidRPr="00B20F3E" w:rsidRDefault="007F32C2" w:rsidP="00D65D76">
            <w:pPr>
              <w:ind w:left="240" w:hangingChars="100" w:hanging="240"/>
              <w:rPr>
                <w:rFonts w:ascii="Times New Roman" w:eastAsia="標楷體" w:hAnsi="Times New Roman"/>
                <w:b/>
                <w:u w:val="single"/>
              </w:rPr>
            </w:pPr>
            <w:r w:rsidRPr="00C1274C">
              <w:rPr>
                <w:rFonts w:ascii="標楷體" w:eastAsia="標楷體" w:hAnsi="標楷體"/>
              </w:rPr>
              <w:t>□</w:t>
            </w:r>
            <w:r w:rsidRPr="00C1274C">
              <w:rPr>
                <w:rFonts w:ascii="Times New Roman" w:eastAsia="標楷體" w:hAnsi="Times New Roman"/>
              </w:rPr>
              <w:t>視覺障礙、斜視</w:t>
            </w:r>
            <w:r w:rsidRPr="00B20F3E">
              <w:rPr>
                <w:rFonts w:ascii="Times New Roman" w:eastAsia="標楷體" w:hAnsi="Times New Roman"/>
                <w:bCs/>
              </w:rPr>
              <w:t>、眼球震顫或視神經萎縮。</w:t>
            </w:r>
          </w:p>
        </w:tc>
      </w:tr>
      <w:tr w:rsidR="007F32C2" w:rsidRPr="00B20F3E" w14:paraId="756BDC22" w14:textId="77777777" w:rsidTr="00D65D76">
        <w:trPr>
          <w:trHeight w:val="1134"/>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14:paraId="12F2A744" w14:textId="77777777" w:rsidR="007F32C2" w:rsidRPr="00B20F3E" w:rsidRDefault="007F32C2" w:rsidP="00D65D76">
            <w:pPr>
              <w:jc w:val="both"/>
              <w:rPr>
                <w:rFonts w:ascii="Times New Roman" w:eastAsia="標楷體" w:hAnsi="Times New Roman"/>
                <w:b/>
              </w:rPr>
            </w:pPr>
            <w:r w:rsidRPr="00B20F3E">
              <w:rPr>
                <w:rFonts w:ascii="Times New Roman" w:eastAsia="標楷體" w:hAnsi="Times New Roman"/>
                <w:b/>
              </w:rPr>
              <w:t>B.</w:t>
            </w:r>
            <w:r w:rsidRPr="00B20F3E">
              <w:rPr>
                <w:rFonts w:ascii="Times New Roman" w:eastAsia="標楷體" w:hAnsi="Times New Roman"/>
                <w:b/>
              </w:rPr>
              <w:t>影像報告</w:t>
            </w:r>
            <w:r w:rsidRPr="00B20F3E">
              <w:rPr>
                <w:rFonts w:ascii="Times New Roman" w:eastAsia="標楷體" w:hAnsi="Times New Roman"/>
              </w:rPr>
              <w:t>(</w:t>
            </w:r>
            <w:r w:rsidRPr="00B20F3E">
              <w:rPr>
                <w:rFonts w:ascii="Times New Roman" w:eastAsia="標楷體" w:hAnsi="Times New Roman"/>
              </w:rPr>
              <w:t>必要</w:t>
            </w:r>
            <w:r w:rsidRPr="00B20F3E">
              <w:rPr>
                <w:rFonts w:ascii="Times New Roman" w:eastAsia="標楷體" w:hAnsi="Times New Roman"/>
              </w:rPr>
              <w:t>)</w:t>
            </w:r>
          </w:p>
        </w:tc>
        <w:tc>
          <w:tcPr>
            <w:tcW w:w="6731" w:type="dxa"/>
            <w:tcBorders>
              <w:top w:val="single" w:sz="4" w:space="0" w:color="auto"/>
              <w:left w:val="single" w:sz="4" w:space="0" w:color="auto"/>
              <w:bottom w:val="single" w:sz="4" w:space="0" w:color="auto"/>
              <w:right w:val="single" w:sz="4" w:space="0" w:color="auto"/>
            </w:tcBorders>
          </w:tcPr>
          <w:p w14:paraId="02078452" w14:textId="77777777" w:rsidR="007F32C2" w:rsidRPr="00B20F3E" w:rsidRDefault="007F32C2" w:rsidP="00D65D76">
            <w:pPr>
              <w:ind w:leftChars="-45" w:left="-108"/>
              <w:rPr>
                <w:rFonts w:ascii="Times New Roman" w:eastAsia="標楷體" w:hAnsi="Times New Roman"/>
                <w:b/>
                <w:u w:val="single"/>
              </w:rPr>
            </w:pPr>
          </w:p>
        </w:tc>
      </w:tr>
      <w:tr w:rsidR="007F32C2" w:rsidRPr="00B20F3E" w14:paraId="623710EA" w14:textId="77777777" w:rsidTr="00D65D76">
        <w:trPr>
          <w:trHeight w:val="1134"/>
          <w:jc w:val="center"/>
        </w:trPr>
        <w:tc>
          <w:tcPr>
            <w:tcW w:w="2764" w:type="dxa"/>
            <w:tcBorders>
              <w:top w:val="single" w:sz="4" w:space="0" w:color="auto"/>
              <w:left w:val="single" w:sz="4" w:space="0" w:color="auto"/>
              <w:bottom w:val="single" w:sz="4" w:space="0" w:color="auto"/>
              <w:right w:val="single" w:sz="4" w:space="0" w:color="auto"/>
            </w:tcBorders>
            <w:vAlign w:val="center"/>
            <w:hideMark/>
          </w:tcPr>
          <w:p w14:paraId="45E8F3D9" w14:textId="77777777" w:rsidR="007F32C2" w:rsidRPr="00B20F3E" w:rsidRDefault="007F32C2" w:rsidP="00D65D76">
            <w:pPr>
              <w:jc w:val="both"/>
              <w:rPr>
                <w:rFonts w:ascii="Times New Roman" w:eastAsia="標楷體" w:hAnsi="Times New Roman"/>
              </w:rPr>
            </w:pPr>
            <w:r w:rsidRPr="00B20F3E">
              <w:rPr>
                <w:rFonts w:ascii="Times New Roman" w:eastAsia="標楷體" w:hAnsi="Times New Roman"/>
                <w:b/>
              </w:rPr>
              <w:t xml:space="preserve">C. </w:t>
            </w:r>
            <w:r w:rsidRPr="00B20F3E">
              <w:rPr>
                <w:rFonts w:ascii="Times New Roman" w:eastAsia="標楷體" w:hAnsi="Times New Roman"/>
                <w:b/>
              </w:rPr>
              <w:t>基因檢測</w:t>
            </w:r>
            <w:r w:rsidRPr="00B20F3E">
              <w:rPr>
                <w:rFonts w:ascii="Times New Roman" w:eastAsia="標楷體" w:hAnsi="Times New Roman"/>
              </w:rPr>
              <w:t>（請附實驗室報告影本）</w:t>
            </w:r>
            <w:r w:rsidRPr="00B20F3E">
              <w:rPr>
                <w:rFonts w:ascii="Times New Roman" w:eastAsia="標楷體" w:hAnsi="Times New Roman"/>
              </w:rPr>
              <w:t>(</w:t>
            </w:r>
            <w:r w:rsidRPr="00B20F3E">
              <w:rPr>
                <w:rFonts w:ascii="Times New Roman" w:eastAsia="標楷體" w:hAnsi="Times New Roman"/>
              </w:rPr>
              <w:t>必要</w:t>
            </w:r>
            <w:r w:rsidRPr="00B20F3E">
              <w:rPr>
                <w:rFonts w:ascii="Times New Roman" w:eastAsia="標楷體" w:hAnsi="Times New Roman"/>
              </w:rPr>
              <w:t>)</w:t>
            </w:r>
          </w:p>
        </w:tc>
        <w:tc>
          <w:tcPr>
            <w:tcW w:w="6731" w:type="dxa"/>
            <w:tcBorders>
              <w:top w:val="single" w:sz="4" w:space="0" w:color="auto"/>
              <w:left w:val="single" w:sz="4" w:space="0" w:color="auto"/>
              <w:bottom w:val="single" w:sz="4" w:space="0" w:color="auto"/>
              <w:right w:val="single" w:sz="4" w:space="0" w:color="auto"/>
            </w:tcBorders>
          </w:tcPr>
          <w:p w14:paraId="14DFA12E" w14:textId="77777777" w:rsidR="007F32C2" w:rsidRPr="00B20F3E" w:rsidRDefault="007F32C2" w:rsidP="00D65D76">
            <w:pPr>
              <w:ind w:leftChars="-45" w:left="-108"/>
              <w:rPr>
                <w:rFonts w:ascii="Times New Roman" w:eastAsia="標楷體" w:hAnsi="Times New Roman"/>
                <w:b/>
                <w:u w:val="single"/>
              </w:rPr>
            </w:pPr>
          </w:p>
        </w:tc>
      </w:tr>
    </w:tbl>
    <w:p w14:paraId="7590CB7A" w14:textId="77777777" w:rsidR="007F32C2" w:rsidRPr="00B20F3E" w:rsidRDefault="007F32C2" w:rsidP="007F32C2">
      <w:pPr>
        <w:snapToGrid w:val="0"/>
        <w:spacing w:line="40" w:lineRule="exact"/>
        <w:rPr>
          <w:rFonts w:ascii="Times New Roman" w:eastAsia="標楷體" w:hAnsi="Times New Roman"/>
        </w:rPr>
      </w:pPr>
    </w:p>
    <w:p w14:paraId="3624C56A" w14:textId="7F26C6D4" w:rsidR="00C117F9" w:rsidRPr="007F32C2" w:rsidRDefault="007F32C2" w:rsidP="007F32C2">
      <w:r>
        <w:rPr>
          <w:noProof/>
        </w:rPr>
        <w:lastRenderedPageBreak/>
        <w:pict w14:anchorId="6E7E5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8.25pt;margin-top:-1.6pt;width:538.4pt;height:752.15pt;z-index:1;mso-position-horizontal-relative:margin;mso-position-vertical-relative:margin">
            <v:imagedata r:id="rId7" o:title="" croptop="2267f"/>
            <w10:wrap type="square" anchorx="margin" anchory="margin"/>
          </v:shape>
        </w:pict>
      </w:r>
    </w:p>
    <w:sectPr w:rsidR="00C117F9" w:rsidRPr="007F32C2" w:rsidSect="00B20F3E">
      <w:pgSz w:w="11906" w:h="173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B441" w14:textId="77777777" w:rsidR="005531FE" w:rsidRDefault="005531FE" w:rsidP="00B20F3E">
      <w:r>
        <w:separator/>
      </w:r>
    </w:p>
  </w:endnote>
  <w:endnote w:type="continuationSeparator" w:id="0">
    <w:p w14:paraId="53DD715A" w14:textId="77777777" w:rsidR="005531FE" w:rsidRDefault="005531FE" w:rsidP="00B2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70ED" w14:textId="77777777" w:rsidR="005531FE" w:rsidRDefault="005531FE" w:rsidP="00B20F3E">
      <w:r>
        <w:separator/>
      </w:r>
    </w:p>
  </w:footnote>
  <w:footnote w:type="continuationSeparator" w:id="0">
    <w:p w14:paraId="420748C9" w14:textId="77777777" w:rsidR="005531FE" w:rsidRDefault="005531FE" w:rsidP="00B20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72C8AF"/>
    <w:multiLevelType w:val="hybridMultilevel"/>
    <w:tmpl w:val="7DAD1F3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32CE225"/>
    <w:multiLevelType w:val="hybridMultilevel"/>
    <w:tmpl w:val="2407FFB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4E69E7"/>
    <w:multiLevelType w:val="hybridMultilevel"/>
    <w:tmpl w:val="BC303734"/>
    <w:lvl w:ilvl="0" w:tplc="EA00AB58">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AA6561D"/>
    <w:multiLevelType w:val="hybridMultilevel"/>
    <w:tmpl w:val="12A83EA6"/>
    <w:lvl w:ilvl="0" w:tplc="B42461C6">
      <w:start w:val="1"/>
      <w:numFmt w:val="taiwaneseCountingThousand"/>
      <w:lvlText w:val="%1、"/>
      <w:lvlJc w:val="left"/>
      <w:pPr>
        <w:tabs>
          <w:tab w:val="num" w:pos="998"/>
        </w:tabs>
        <w:ind w:left="998" w:hanging="720"/>
      </w:pPr>
      <w:rPr>
        <w:rFonts w:ascii="標楷體" w:eastAsia="Times New Roman" w:hAnsi="標楷體" w:cs="新細明體" w:hint="eastAsia"/>
      </w:rPr>
    </w:lvl>
    <w:lvl w:ilvl="1" w:tplc="3AA2B0FC">
      <w:start w:val="1"/>
      <w:numFmt w:val="taiwaneseCountingThousand"/>
      <w:lvlText w:val="%2、"/>
      <w:lvlJc w:val="left"/>
      <w:pPr>
        <w:tabs>
          <w:tab w:val="num" w:pos="1260"/>
        </w:tabs>
        <w:ind w:left="1260" w:hanging="720"/>
      </w:pPr>
    </w:lvl>
    <w:lvl w:ilvl="2" w:tplc="F5B00002">
      <w:start w:val="1"/>
      <w:numFmt w:val="taiwaneseCountingThousand"/>
      <w:lvlText w:val="(%3)"/>
      <w:lvlJc w:val="left"/>
      <w:pPr>
        <w:tabs>
          <w:tab w:val="num" w:pos="1440"/>
        </w:tabs>
        <w:ind w:left="1440" w:hanging="480"/>
      </w:pPr>
    </w:lvl>
    <w:lvl w:ilvl="3" w:tplc="D9FC507C">
      <w:start w:val="1"/>
      <w:numFmt w:val="decimal"/>
      <w:lvlText w:val="%4."/>
      <w:lvlJc w:val="left"/>
      <w:pPr>
        <w:tabs>
          <w:tab w:val="num" w:pos="1920"/>
        </w:tabs>
        <w:ind w:left="1920" w:hanging="480"/>
      </w:pPr>
      <w:rPr>
        <w:rFonts w:ascii="Times New Roman" w:hAnsi="Times New Roman"/>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16cid:durableId="582571164">
    <w:abstractNumId w:val="1"/>
  </w:num>
  <w:num w:numId="2" w16cid:durableId="501315692">
    <w:abstractNumId w:val="0"/>
  </w:num>
  <w:num w:numId="3" w16cid:durableId="356126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704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308D"/>
    <w:rsid w:val="00507399"/>
    <w:rsid w:val="00535FA1"/>
    <w:rsid w:val="005531FE"/>
    <w:rsid w:val="005775F0"/>
    <w:rsid w:val="00727D87"/>
    <w:rsid w:val="007F32C2"/>
    <w:rsid w:val="00A035E1"/>
    <w:rsid w:val="00B20F3E"/>
    <w:rsid w:val="00B3308D"/>
    <w:rsid w:val="00C117F9"/>
    <w:rsid w:val="00C1274C"/>
    <w:rsid w:val="00DA6C59"/>
    <w:rsid w:val="00E45F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FF92870"/>
  <w14:defaultImageDpi w14:val="0"/>
  <w15:docId w15:val="{C281F9E6-EBBE-48D7-8D25-6C7C40F0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D8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cs="Calibri"/>
      <w:color w:val="000000"/>
      <w:sz w:val="24"/>
      <w:szCs w:val="24"/>
    </w:rPr>
  </w:style>
  <w:style w:type="paragraph" w:styleId="a3">
    <w:name w:val="header"/>
    <w:basedOn w:val="a"/>
    <w:link w:val="a4"/>
    <w:uiPriority w:val="99"/>
    <w:unhideWhenUsed/>
    <w:rsid w:val="00B20F3E"/>
    <w:pPr>
      <w:tabs>
        <w:tab w:val="center" w:pos="4153"/>
        <w:tab w:val="right" w:pos="8306"/>
      </w:tabs>
      <w:snapToGrid w:val="0"/>
    </w:pPr>
    <w:rPr>
      <w:sz w:val="20"/>
      <w:szCs w:val="20"/>
    </w:rPr>
  </w:style>
  <w:style w:type="character" w:customStyle="1" w:styleId="a4">
    <w:name w:val="頁首 字元"/>
    <w:link w:val="a3"/>
    <w:uiPriority w:val="99"/>
    <w:rsid w:val="00B20F3E"/>
    <w:rPr>
      <w:sz w:val="20"/>
      <w:szCs w:val="20"/>
    </w:rPr>
  </w:style>
  <w:style w:type="paragraph" w:styleId="a5">
    <w:name w:val="footer"/>
    <w:basedOn w:val="a"/>
    <w:link w:val="a6"/>
    <w:uiPriority w:val="99"/>
    <w:unhideWhenUsed/>
    <w:rsid w:val="00B20F3E"/>
    <w:pPr>
      <w:tabs>
        <w:tab w:val="center" w:pos="4153"/>
        <w:tab w:val="right" w:pos="8306"/>
      </w:tabs>
      <w:snapToGrid w:val="0"/>
    </w:pPr>
    <w:rPr>
      <w:sz w:val="20"/>
      <w:szCs w:val="20"/>
    </w:rPr>
  </w:style>
  <w:style w:type="character" w:customStyle="1" w:styleId="a6">
    <w:name w:val="頁尾 字元"/>
    <w:link w:val="a5"/>
    <w:uiPriority w:val="99"/>
    <w:rsid w:val="00B20F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09135">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送審資料表及審查基準表_22_磷脂質脂解酶A2關聯之神經退化性疾病(PLAN)</dc:title>
  <dc:subject/>
  <dc:creator>陳嘉慧@婦幼健康組</dc:creator>
  <cp:keywords/>
  <dc:description/>
  <cp:lastModifiedBy>許雅雯(Linda Shiu)</cp:lastModifiedBy>
  <cp:revision>4</cp:revision>
  <dcterms:created xsi:type="dcterms:W3CDTF">2024-01-04T03:49:00Z</dcterms:created>
  <dcterms:modified xsi:type="dcterms:W3CDTF">2024-01-04T07:13:00Z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2024-01-04T03:50:13Z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0793dc01-16bd-45cb-94cf-8c934e34d454</vt:lpwstr>
  </property>
  <property fmtid="{D5CDD505-2E9C-101B-9397-08002B2CF9AE}" pid="8" name="MSIP_Label_755196ac-7daa-415d-ac3a-bda7dffaa0f9_ContentBits">
    <vt:lpwstr>0</vt:lpwstr>
  </property>
</Properties>
</file>