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107D0F">
      <w:pPr>
        <w:snapToGrid w:val="0"/>
        <w:spacing w:after="180" w:afterLines="50"/>
        <w:jc w:val="center"/>
        <w:rPr>
          <w:rFonts w:ascii="Times New Roman" w:hAnsi="Times New Roman" w:eastAsia="標楷體"/>
          <w:sz w:val="32"/>
          <w:szCs w:val="32"/>
        </w:rPr>
      </w:pPr>
      <w:r>
        <w:rPr>
          <w:rFonts w:hint="eastAsia" w:ascii="Times New Roman" w:hAnsi="Times New Roman" w:eastAsia="標楷體"/>
          <w:sz w:val="32"/>
          <w:szCs w:val="32"/>
        </w:rPr>
        <w:t>9</w:t>
      </w:r>
      <w:r>
        <w:rPr>
          <w:rFonts w:hint="eastAsia" w:ascii="Times New Roman" w:hAnsi="Times New Roman" w:eastAsia="標楷體"/>
          <w:sz w:val="32"/>
          <w:szCs w:val="32"/>
          <w:lang w:val="en-US" w:eastAsia="zh-TW"/>
        </w:rPr>
        <w:t>8</w:t>
      </w:r>
      <w:bookmarkStart w:id="0" w:name="_GoBack"/>
      <w:bookmarkEnd w:id="0"/>
      <w:r>
        <w:rPr>
          <w:rFonts w:ascii="Times New Roman" w:hAnsi="Times New Roman" w:eastAsia="標楷體"/>
          <w:sz w:val="32"/>
          <w:szCs w:val="32"/>
        </w:rPr>
        <w:t>項「罕見疾病個案通報審查</w:t>
      </w:r>
      <w:r>
        <w:rPr>
          <w:rFonts w:hint="eastAsia" w:ascii="Times New Roman" w:hAnsi="Times New Roman" w:eastAsia="標楷體"/>
          <w:sz w:val="32"/>
          <w:szCs w:val="32"/>
        </w:rPr>
        <w:t>基</w:t>
      </w:r>
      <w:r>
        <w:rPr>
          <w:rFonts w:ascii="Times New Roman" w:hAnsi="Times New Roman" w:eastAsia="標楷體"/>
          <w:sz w:val="32"/>
          <w:szCs w:val="32"/>
        </w:rPr>
        <w:t>準</w:t>
      </w:r>
      <w:r>
        <w:rPr>
          <w:rFonts w:hint="eastAsia" w:ascii="Times New Roman" w:hAnsi="Times New Roman" w:eastAsia="標楷體"/>
          <w:sz w:val="32"/>
          <w:szCs w:val="32"/>
        </w:rPr>
        <w:t>」摘要彙總表</w:t>
      </w:r>
    </w:p>
    <w:tbl>
      <w:tblPr>
        <w:tblStyle w:val="3"/>
        <w:tblW w:w="4937" w:type="pct"/>
        <w:jc w:val="center"/>
        <w:tblLayout w:type="fixed"/>
        <w:tblCellMar>
          <w:top w:w="0" w:type="dxa"/>
          <w:left w:w="10" w:type="dxa"/>
          <w:bottom w:w="0" w:type="dxa"/>
          <w:right w:w="10" w:type="dxa"/>
        </w:tblCellMar>
      </w:tblPr>
      <w:tblGrid>
        <w:gridCol w:w="569"/>
        <w:gridCol w:w="2437"/>
        <w:gridCol w:w="2583"/>
        <w:gridCol w:w="1723"/>
        <w:gridCol w:w="3441"/>
      </w:tblGrid>
      <w:tr w14:paraId="1D0E81DA">
        <w:tblPrEx>
          <w:tblCellMar>
            <w:top w:w="0" w:type="dxa"/>
            <w:left w:w="10" w:type="dxa"/>
            <w:bottom w:w="0" w:type="dxa"/>
            <w:right w:w="10" w:type="dxa"/>
          </w:tblCellMar>
        </w:tblPrEx>
        <w:trPr>
          <w:trHeight w:val="20" w:hRule="atLeast"/>
          <w:tblHeader/>
          <w:jc w:val="center"/>
        </w:trPr>
        <w:tc>
          <w:tcPr>
            <w:tcW w:w="265" w:type="pct"/>
            <w:tcBorders>
              <w:top w:val="single" w:color="000000" w:sz="4" w:space="0"/>
              <w:left w:val="single" w:color="000000" w:sz="4" w:space="0"/>
              <w:bottom w:val="single" w:color="000000" w:sz="4" w:space="0"/>
              <w:right w:val="single" w:color="000000" w:sz="4" w:space="0"/>
            </w:tcBorders>
            <w:shd w:val="clear" w:color="auto" w:fill="FDE9D9"/>
            <w:vAlign w:val="center"/>
          </w:tcPr>
          <w:p w14:paraId="239A8C4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項</w:t>
            </w:r>
          </w:p>
        </w:tc>
        <w:tc>
          <w:tcPr>
            <w:tcW w:w="1133" w:type="pct"/>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tcPr>
          <w:p w14:paraId="7B03715A">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疾病名稱</w:t>
            </w:r>
          </w:p>
        </w:tc>
        <w:tc>
          <w:tcPr>
            <w:tcW w:w="1201" w:type="pct"/>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vAlign w:val="center"/>
          </w:tcPr>
          <w:p w14:paraId="4E207E6F">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審查條件</w:t>
            </w:r>
          </w:p>
        </w:tc>
        <w:tc>
          <w:tcPr>
            <w:tcW w:w="801" w:type="pct"/>
            <w:tcBorders>
              <w:top w:val="single" w:color="000000" w:sz="4" w:space="0"/>
              <w:left w:val="single" w:color="000000" w:sz="4" w:space="0"/>
              <w:bottom w:val="single" w:color="000000" w:sz="4" w:space="0"/>
              <w:right w:val="single" w:color="000000" w:sz="4" w:space="0"/>
            </w:tcBorders>
            <w:shd w:val="clear" w:color="auto" w:fill="FDE9D9"/>
            <w:vAlign w:val="center"/>
          </w:tcPr>
          <w:p w14:paraId="4F9F422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基因檢附需求</w:t>
            </w:r>
          </w:p>
        </w:tc>
        <w:tc>
          <w:tcPr>
            <w:tcW w:w="1600" w:type="pct"/>
            <w:tcBorders>
              <w:top w:val="single" w:color="000000" w:sz="4" w:space="0"/>
              <w:left w:val="single" w:color="000000" w:sz="4" w:space="0"/>
              <w:bottom w:val="single" w:color="000000" w:sz="4" w:space="0"/>
              <w:right w:val="single" w:color="000000" w:sz="4" w:space="0"/>
            </w:tcBorders>
            <w:shd w:val="clear" w:color="auto" w:fill="FDE9D9"/>
            <w:tcMar>
              <w:top w:w="0" w:type="dxa"/>
              <w:left w:w="108" w:type="dxa"/>
              <w:bottom w:w="0" w:type="dxa"/>
              <w:right w:w="108" w:type="dxa"/>
            </w:tcMar>
            <w:vAlign w:val="center"/>
          </w:tcPr>
          <w:p w14:paraId="2BBA16EE">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附件</w:t>
            </w:r>
          </w:p>
        </w:tc>
      </w:tr>
      <w:tr w14:paraId="1859026D">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098566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3838FC">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多發性硬化症</w:t>
            </w:r>
            <w:r>
              <w:rPr>
                <w:rFonts w:hint="eastAsia" w:ascii="Times New Roman" w:hAnsi="Times New Roman" w:eastAsia="標楷體"/>
                <w:sz w:val="28"/>
                <w:szCs w:val="28"/>
              </w:rPr>
              <w:t>/</w:t>
            </w:r>
          </w:p>
          <w:p w14:paraId="2AEF0DE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泛視神經脊髓炎</w:t>
            </w:r>
          </w:p>
          <w:p w14:paraId="2FF49E80">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(Multiple sclerosis, MS/Neuromyelitis optica spectrum disorders, NMOSD)</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6715097">
            <w:pPr>
              <w:pStyle w:val="14"/>
              <w:widowControl/>
              <w:numPr>
                <w:ilvl w:val="0"/>
                <w:numId w:val="1"/>
              </w:numPr>
              <w:adjustRightInd w:val="0"/>
              <w:snapToGrid w:val="0"/>
              <w:spacing w:line="300" w:lineRule="exact"/>
              <w:ind w:leftChars="0"/>
              <w:jc w:val="both"/>
              <w:rPr>
                <w:rFonts w:ascii="Times New Roman" w:hAnsi="Times New Roman" w:eastAsia="標楷體"/>
                <w:sz w:val="28"/>
                <w:szCs w:val="28"/>
              </w:rPr>
            </w:pPr>
            <w:r>
              <w:rPr>
                <w:rFonts w:ascii="Times New Roman" w:hAnsi="Times New Roman" w:eastAsia="標楷體"/>
                <w:sz w:val="28"/>
                <w:szCs w:val="28"/>
              </w:rPr>
              <w:t>符合McDonald診斷準據，且符合DIT及DIS的要件者。</w:t>
            </w:r>
          </w:p>
          <w:p w14:paraId="542DA49E">
            <w:pPr>
              <w:pStyle w:val="14"/>
              <w:widowControl/>
              <w:numPr>
                <w:ilvl w:val="0"/>
                <w:numId w:val="1"/>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水通道蛋白4自體抗體異常，符合下列1及2</w:t>
            </w:r>
          </w:p>
          <w:p w14:paraId="76113396">
            <w:pPr>
              <w:pStyle w:val="14"/>
              <w:widowControl/>
              <w:numPr>
                <w:ilvl w:val="0"/>
                <w:numId w:val="2"/>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具六項主要表徵之一項</w:t>
            </w:r>
          </w:p>
          <w:p w14:paraId="0CF4FACE">
            <w:pPr>
              <w:pStyle w:val="14"/>
              <w:widowControl/>
              <w:numPr>
                <w:ilvl w:val="0"/>
                <w:numId w:val="2"/>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排除其他鑑別相關之疾病</w:t>
            </w:r>
          </w:p>
          <w:p w14:paraId="2D46674F">
            <w:pPr>
              <w:pStyle w:val="14"/>
              <w:widowControl/>
              <w:adjustRightInd w:val="0"/>
              <w:snapToGrid w:val="0"/>
              <w:spacing w:line="300" w:lineRule="exact"/>
              <w:ind w:left="360" w:leftChars="0"/>
              <w:jc w:val="both"/>
              <w:rPr>
                <w:rFonts w:ascii="Times New Roman" w:hAnsi="Times New Roman" w:eastAsia="標楷體"/>
                <w:sz w:val="28"/>
                <w:szCs w:val="28"/>
              </w:rPr>
            </w:pPr>
            <w:r>
              <w:rPr>
                <w:rFonts w:hint="eastAsia" w:ascii="Times New Roman" w:hAnsi="Times New Roman" w:eastAsia="標楷體"/>
                <w:sz w:val="28"/>
                <w:szCs w:val="28"/>
              </w:rPr>
              <w:t>水通道蛋白4自體抗體正常，符合下列1+2+3+4</w:t>
            </w:r>
          </w:p>
          <w:p w14:paraId="00F61D91">
            <w:pPr>
              <w:pStyle w:val="14"/>
              <w:widowControl/>
              <w:numPr>
                <w:ilvl w:val="0"/>
                <w:numId w:val="3"/>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具主要表徵中第一及二項並伴有第三項或脊髓炎超過(或含)三節連續性病灶(MRI)</w:t>
            </w:r>
          </w:p>
          <w:p w14:paraId="7CD8EB4F">
            <w:pPr>
              <w:pStyle w:val="14"/>
              <w:widowControl/>
              <w:numPr>
                <w:ilvl w:val="0"/>
                <w:numId w:val="3"/>
              </w:numPr>
              <w:adjustRightInd w:val="0"/>
              <w:snapToGrid w:val="0"/>
              <w:spacing w:line="300" w:lineRule="exact"/>
              <w:ind w:leftChars="0"/>
              <w:rPr>
                <w:rFonts w:ascii="Times New Roman" w:hAnsi="Times New Roman" w:eastAsia="標楷體"/>
                <w:sz w:val="28"/>
                <w:szCs w:val="28"/>
              </w:rPr>
            </w:pPr>
            <w:r>
              <w:rPr>
                <w:rFonts w:hint="eastAsia" w:ascii="Times New Roman" w:hAnsi="Times New Roman" w:eastAsia="標楷體"/>
                <w:sz w:val="28"/>
                <w:szCs w:val="28"/>
              </w:rPr>
              <w:t>具神經影像學(MRI)有Dissemination in space(DIS)特徵，並對應二項(含)以上之主要表徵</w:t>
            </w:r>
          </w:p>
          <w:p w14:paraId="28C83947">
            <w:pPr>
              <w:pStyle w:val="14"/>
              <w:widowControl/>
              <w:numPr>
                <w:ilvl w:val="0"/>
                <w:numId w:val="3"/>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具典型主要表徵相關MRI影像病灶*(註解)</w:t>
            </w:r>
          </w:p>
          <w:p w14:paraId="244A1650">
            <w:pPr>
              <w:pStyle w:val="14"/>
              <w:widowControl/>
              <w:numPr>
                <w:ilvl w:val="0"/>
                <w:numId w:val="3"/>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排除其他鑑別相關疾病</w:t>
            </w:r>
          </w:p>
        </w:tc>
        <w:tc>
          <w:tcPr>
            <w:tcW w:w="801" w:type="pct"/>
            <w:tcBorders>
              <w:top w:val="single" w:color="000000" w:sz="4" w:space="0"/>
              <w:left w:val="single" w:color="000000" w:sz="4" w:space="0"/>
              <w:bottom w:val="single" w:color="000000" w:sz="4" w:space="0"/>
              <w:right w:val="single" w:color="000000" w:sz="4" w:space="0"/>
            </w:tcBorders>
          </w:tcPr>
          <w:p w14:paraId="4946B369">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不需要</w:t>
            </w:r>
            <w:r>
              <w:rPr>
                <w:rFonts w:hint="eastAsia" w:ascii="Times New Roman" w:hAnsi="Times New Roman" w:eastAsia="標楷體"/>
                <w:sz w:val="28"/>
                <w:szCs w:val="28"/>
              </w:rPr>
              <w:t>，目前無確診基因，故無須檢附基因檢測報告。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85D8D66">
            <w:pPr>
              <w:pStyle w:val="14"/>
              <w:widowControl/>
              <w:numPr>
                <w:ilvl w:val="0"/>
                <w:numId w:val="4"/>
              </w:numPr>
              <w:adjustRightInd w:val="0"/>
              <w:snapToGrid w:val="0"/>
              <w:spacing w:line="320" w:lineRule="exact"/>
              <w:ind w:leftChars="0"/>
              <w:jc w:val="both"/>
              <w:rPr>
                <w:rFonts w:ascii="Times New Roman" w:hAnsi="Times New Roman" w:eastAsia="標楷體"/>
                <w:sz w:val="28"/>
                <w:szCs w:val="28"/>
              </w:rPr>
            </w:pPr>
            <w:r>
              <w:rPr>
                <w:rFonts w:ascii="Times New Roman" w:hAnsi="Times New Roman" w:eastAsia="標楷體"/>
                <w:sz w:val="28"/>
                <w:szCs w:val="28"/>
              </w:rPr>
              <w:t>需</w:t>
            </w:r>
            <w:r>
              <w:rPr>
                <w:rFonts w:hint="eastAsia" w:ascii="Times New Roman" w:hAnsi="Times New Roman" w:eastAsia="標楷體"/>
                <w:sz w:val="28"/>
                <w:szCs w:val="28"/>
              </w:rPr>
              <w:t>檢</w:t>
            </w:r>
            <w:r>
              <w:rPr>
                <w:rFonts w:ascii="Times New Roman" w:hAnsi="Times New Roman" w:eastAsia="標楷體"/>
                <w:sz w:val="28"/>
                <w:szCs w:val="28"/>
              </w:rPr>
              <w:t>附臨床相關的</w:t>
            </w:r>
            <w:r>
              <w:rPr>
                <w:rFonts w:hint="eastAsia" w:ascii="Times New Roman" w:hAnsi="Times New Roman" w:eastAsia="標楷體"/>
                <w:sz w:val="28"/>
                <w:szCs w:val="28"/>
              </w:rPr>
              <w:t>2</w:t>
            </w:r>
            <w:r>
              <w:rPr>
                <w:rFonts w:ascii="Times New Roman" w:hAnsi="Times New Roman" w:eastAsia="標楷體"/>
                <w:sz w:val="28"/>
                <w:szCs w:val="28"/>
              </w:rPr>
              <w:t>次發病之病歷紀錄及中樞神經系統之影像報告。</w:t>
            </w:r>
          </w:p>
          <w:p w14:paraId="78065C1E">
            <w:pPr>
              <w:pStyle w:val="14"/>
              <w:widowControl/>
              <w:numPr>
                <w:ilvl w:val="0"/>
                <w:numId w:val="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需檢附相關臨床症狀及徵兆的病歷紀錄</w:t>
            </w:r>
            <w:r>
              <w:rPr>
                <w:rFonts w:ascii="Times New Roman" w:hAnsi="Times New Roman" w:eastAsia="標楷體"/>
                <w:sz w:val="28"/>
                <w:szCs w:val="28"/>
              </w:rPr>
              <w:t>、</w:t>
            </w:r>
            <w:r>
              <w:rPr>
                <w:rFonts w:hint="eastAsia" w:ascii="Times New Roman" w:hAnsi="Times New Roman" w:eastAsia="標楷體"/>
                <w:sz w:val="28"/>
                <w:szCs w:val="28"/>
              </w:rPr>
              <w:t>相關科會診病歷紀錄、        影像學報告</w:t>
            </w:r>
            <w:r>
              <w:rPr>
                <w:rFonts w:ascii="Times New Roman" w:hAnsi="Times New Roman" w:eastAsia="標楷體"/>
                <w:sz w:val="28"/>
                <w:szCs w:val="28"/>
              </w:rPr>
              <w:t>、</w:t>
            </w:r>
            <w:r>
              <w:rPr>
                <w:rFonts w:hint="eastAsia" w:ascii="Times New Roman" w:hAnsi="Times New Roman" w:eastAsia="標楷體"/>
                <w:sz w:val="28"/>
                <w:szCs w:val="28"/>
              </w:rPr>
              <w:t>實驗室檢驗報告、AQP4抗體檢驗報告</w:t>
            </w:r>
          </w:p>
          <w:p w14:paraId="2708D17A">
            <w:pPr>
              <w:widowControl/>
              <w:adjustRightInd w:val="0"/>
              <w:snapToGrid w:val="0"/>
              <w:spacing w:line="320" w:lineRule="exact"/>
              <w:jc w:val="both"/>
              <w:rPr>
                <w:rFonts w:ascii="Times New Roman" w:hAnsi="Times New Roman" w:eastAsia="標楷體"/>
                <w:sz w:val="28"/>
                <w:szCs w:val="28"/>
              </w:rPr>
            </w:pPr>
          </w:p>
        </w:tc>
      </w:tr>
      <w:tr w14:paraId="716B2B72">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9BEBF8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5C767A8">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結節硬化症</w:t>
            </w:r>
          </w:p>
          <w:p w14:paraId="1DE04CEF">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(Tuberous sclerosis complex, TSC)</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F42971">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(1)TS</w:t>
            </w:r>
            <w:r>
              <w:rPr>
                <w:rFonts w:hint="eastAsia" w:ascii="Times New Roman" w:hAnsi="Times New Roman" w:eastAsia="標楷體"/>
                <w:sz w:val="28"/>
                <w:szCs w:val="28"/>
              </w:rPr>
              <w:t>C基因檢測陽性，並</w:t>
            </w:r>
            <w:r>
              <w:rPr>
                <w:rFonts w:ascii="Times New Roman" w:hAnsi="Times New Roman" w:eastAsia="標楷體"/>
                <w:sz w:val="28"/>
                <w:szCs w:val="28"/>
              </w:rPr>
              <w:t>符合≥</w:t>
            </w:r>
            <w:r>
              <w:rPr>
                <w:rFonts w:hint="eastAsia" w:ascii="Times New Roman" w:hAnsi="Times New Roman" w:eastAsia="標楷體"/>
                <w:sz w:val="28"/>
                <w:szCs w:val="28"/>
              </w:rPr>
              <w:t>1種主要臨床表徵或</w:t>
            </w:r>
            <w:r>
              <w:rPr>
                <w:rFonts w:ascii="Times New Roman" w:hAnsi="Times New Roman" w:eastAsia="標楷體"/>
                <w:sz w:val="28"/>
                <w:szCs w:val="28"/>
              </w:rPr>
              <w:t>≥</w:t>
            </w:r>
            <w:r>
              <w:rPr>
                <w:rFonts w:hint="eastAsia" w:ascii="Times New Roman" w:hAnsi="Times New Roman" w:eastAsia="標楷體"/>
                <w:sz w:val="28"/>
                <w:szCs w:val="28"/>
              </w:rPr>
              <w:t>2種次要臨床表徵；</w:t>
            </w:r>
          </w:p>
          <w:p w14:paraId="71E6ABDD">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或(2)TS</w:t>
            </w:r>
            <w:r>
              <w:rPr>
                <w:rFonts w:hint="eastAsia" w:ascii="Times New Roman" w:hAnsi="Times New Roman" w:eastAsia="標楷體"/>
                <w:sz w:val="28"/>
                <w:szCs w:val="28"/>
              </w:rPr>
              <w:t>C基因檢測陰性</w:t>
            </w:r>
            <w:r>
              <w:rPr>
                <w:rFonts w:ascii="Times New Roman" w:hAnsi="Times New Roman" w:eastAsia="標楷體"/>
                <w:sz w:val="28"/>
                <w:szCs w:val="28"/>
              </w:rPr>
              <w:t>，</w:t>
            </w:r>
            <w:r>
              <w:rPr>
                <w:rFonts w:hint="eastAsia" w:ascii="Times New Roman" w:hAnsi="Times New Roman" w:eastAsia="標楷體"/>
                <w:sz w:val="28"/>
                <w:szCs w:val="28"/>
              </w:rPr>
              <w:t>並符合2種主要臨床表徵或1種主要臨床表徵及</w:t>
            </w:r>
            <w:r>
              <w:rPr>
                <w:rFonts w:ascii="Times New Roman" w:hAnsi="Times New Roman" w:eastAsia="標楷體"/>
                <w:sz w:val="28"/>
                <w:szCs w:val="28"/>
              </w:rPr>
              <w:t>≥</w:t>
            </w:r>
            <w:r>
              <w:rPr>
                <w:rFonts w:hint="eastAsia" w:ascii="Times New Roman" w:hAnsi="Times New Roman" w:eastAsia="標楷體"/>
                <w:sz w:val="28"/>
                <w:szCs w:val="28"/>
              </w:rPr>
              <w:t>2種次要臨床表徵</w:t>
            </w:r>
          </w:p>
        </w:tc>
        <w:tc>
          <w:tcPr>
            <w:tcW w:w="801" w:type="pct"/>
            <w:tcBorders>
              <w:top w:val="single" w:color="000000" w:sz="4" w:space="0"/>
              <w:left w:val="single" w:color="000000" w:sz="4" w:space="0"/>
              <w:bottom w:val="single" w:color="000000" w:sz="4" w:space="0"/>
              <w:right w:val="single" w:color="000000" w:sz="4" w:space="0"/>
            </w:tcBorders>
          </w:tcPr>
          <w:p w14:paraId="395C38F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，須檢附TSC基因檢測報告。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2033DEB">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需</w:t>
            </w:r>
            <w:r>
              <w:rPr>
                <w:rFonts w:hint="eastAsia" w:ascii="Times New Roman" w:hAnsi="Times New Roman" w:eastAsia="標楷體"/>
                <w:sz w:val="28"/>
                <w:szCs w:val="28"/>
              </w:rPr>
              <w:t>檢</w:t>
            </w:r>
            <w:r>
              <w:rPr>
                <w:rFonts w:ascii="Times New Roman" w:hAnsi="Times New Roman" w:eastAsia="標楷體"/>
                <w:sz w:val="28"/>
                <w:szCs w:val="28"/>
              </w:rPr>
              <w:t>附相關</w:t>
            </w:r>
            <w:r>
              <w:rPr>
                <w:rFonts w:hint="eastAsia" w:ascii="Times New Roman" w:hAnsi="Times New Roman" w:eastAsia="標楷體"/>
                <w:sz w:val="28"/>
                <w:szCs w:val="28"/>
              </w:rPr>
              <w:t>臨床症狀及徵兆的病歷紀錄、</w:t>
            </w:r>
            <w:r>
              <w:rPr>
                <w:rFonts w:ascii="Times New Roman" w:hAnsi="Times New Roman" w:eastAsia="標楷體"/>
                <w:sz w:val="28"/>
                <w:szCs w:val="28"/>
              </w:rPr>
              <w:t>影像報告</w:t>
            </w:r>
            <w:r>
              <w:rPr>
                <w:rFonts w:hint="eastAsia" w:ascii="Times New Roman" w:hAnsi="Times New Roman" w:eastAsia="標楷體"/>
                <w:sz w:val="28"/>
                <w:szCs w:val="28"/>
              </w:rPr>
              <w:t>及基因檢測報告</w:t>
            </w:r>
            <w:r>
              <w:rPr>
                <w:rFonts w:ascii="Times New Roman" w:hAnsi="Times New Roman" w:eastAsia="標楷體"/>
                <w:sz w:val="28"/>
                <w:szCs w:val="28"/>
              </w:rPr>
              <w:t>。</w:t>
            </w:r>
          </w:p>
        </w:tc>
      </w:tr>
      <w:tr w14:paraId="1BC72450">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76EB4C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FCA6B3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脊髓性肌肉</w:t>
            </w:r>
          </w:p>
          <w:p w14:paraId="2D19A2E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萎縮症</w:t>
            </w:r>
          </w:p>
          <w:p w14:paraId="4B8AB695">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(Spinal muscular atrophy, SMA)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38B3CFC">
            <w:pPr>
              <w:widowControl/>
              <w:adjustRightInd w:val="0"/>
              <w:snapToGrid w:val="0"/>
              <w:spacing w:line="30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1)</w:t>
            </w:r>
            <w:r>
              <w:rPr>
                <w:rFonts w:hint="eastAsia" w:ascii="Times New Roman" w:hAnsi="Times New Roman" w:eastAsia="標楷體"/>
                <w:sz w:val="28"/>
                <w:szCs w:val="28"/>
              </w:rPr>
              <w:t>「新生兒篩檢(含產前診斷)確診即時通報」個案身體及神經學檢查至少出現1項肌肉相關異常及SMN</w:t>
            </w:r>
            <w:r>
              <w:rPr>
                <w:rFonts w:ascii="Times New Roman" w:hAnsi="Times New Roman" w:eastAsia="標楷體"/>
                <w:sz w:val="28"/>
                <w:szCs w:val="28"/>
              </w:rPr>
              <w:t>1</w:t>
            </w:r>
            <w:r>
              <w:rPr>
                <w:rFonts w:hint="eastAsia" w:ascii="Times New Roman" w:hAnsi="Times New Roman" w:eastAsia="標楷體"/>
                <w:sz w:val="28"/>
                <w:szCs w:val="28"/>
              </w:rPr>
              <w:t>基因缺失；或</w:t>
            </w:r>
          </w:p>
          <w:p w14:paraId="2FAF54A2">
            <w:pPr>
              <w:widowControl/>
              <w:adjustRightInd w:val="0"/>
              <w:snapToGrid w:val="0"/>
              <w:spacing w:line="300" w:lineRule="exact"/>
              <w:jc w:val="both"/>
              <w:rPr>
                <w:rFonts w:ascii="Times New Roman" w:hAnsi="Times New Roman" w:eastAsia="標楷體"/>
                <w:sz w:val="28"/>
                <w:szCs w:val="28"/>
              </w:rPr>
            </w:pPr>
            <w:r>
              <w:rPr>
                <w:rFonts w:hint="eastAsia" w:ascii="Times New Roman" w:hAnsi="Times New Roman" w:eastAsia="標楷體"/>
                <w:sz w:val="28"/>
                <w:szCs w:val="28"/>
              </w:rPr>
              <w:t>(2)非「新生兒篩檢(含產前診斷)確診即時通報」個案</w:t>
            </w:r>
          </w:p>
          <w:p w14:paraId="744E9075">
            <w:pPr>
              <w:widowControl/>
              <w:adjustRightInd w:val="0"/>
              <w:snapToGrid w:val="0"/>
              <w:spacing w:line="300" w:lineRule="exact"/>
              <w:jc w:val="both"/>
              <w:rPr>
                <w:rFonts w:ascii="Times New Roman" w:hAnsi="Times New Roman" w:eastAsia="標楷體"/>
                <w:sz w:val="28"/>
                <w:szCs w:val="28"/>
              </w:rPr>
            </w:pPr>
            <w:r>
              <w:rPr>
                <w:rFonts w:hint="eastAsia" w:ascii="Times New Roman" w:hAnsi="Times New Roman" w:eastAsia="標楷體"/>
                <w:sz w:val="28"/>
                <w:szCs w:val="28"/>
              </w:rPr>
              <w:t>個案身體及神經學檢查符合至少4項必要條件及SMN</w:t>
            </w:r>
            <w:r>
              <w:rPr>
                <w:rFonts w:ascii="Times New Roman" w:hAnsi="Times New Roman" w:eastAsia="標楷體"/>
                <w:sz w:val="28"/>
                <w:szCs w:val="28"/>
              </w:rPr>
              <w:t>1</w:t>
            </w:r>
            <w:r>
              <w:rPr>
                <w:rFonts w:hint="eastAsia" w:ascii="Times New Roman" w:hAnsi="Times New Roman" w:eastAsia="標楷體"/>
                <w:sz w:val="28"/>
                <w:szCs w:val="28"/>
              </w:rPr>
              <w:t>基因缺失</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508CEE5">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，須檢附</w:t>
            </w:r>
            <w:r>
              <w:rPr>
                <w:rFonts w:hint="eastAsia" w:ascii="Times New Roman" w:hAnsi="Times New Roman" w:eastAsia="標楷體"/>
                <w:i/>
                <w:iCs/>
                <w:sz w:val="28"/>
                <w:szCs w:val="28"/>
              </w:rPr>
              <w:t>SMN</w:t>
            </w:r>
            <w:r>
              <w:rPr>
                <w:rFonts w:ascii="Times New Roman" w:hAnsi="Times New Roman" w:eastAsia="標楷體"/>
                <w:i/>
                <w:iCs/>
                <w:sz w:val="28"/>
                <w:szCs w:val="28"/>
              </w:rPr>
              <w:t>1</w:t>
            </w:r>
            <w:r>
              <w:rPr>
                <w:rFonts w:hint="eastAsia" w:ascii="Times New Roman" w:hAnsi="Times New Roman" w:eastAsia="標楷體"/>
                <w:sz w:val="28"/>
                <w:szCs w:val="28"/>
              </w:rPr>
              <w:t>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F5DA5E">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需</w:t>
            </w:r>
            <w:r>
              <w:rPr>
                <w:rFonts w:hint="eastAsia" w:ascii="Times New Roman" w:hAnsi="Times New Roman" w:eastAsia="標楷體"/>
                <w:sz w:val="28"/>
                <w:szCs w:val="28"/>
              </w:rPr>
              <w:t>檢</w:t>
            </w:r>
            <w:r>
              <w:rPr>
                <w:rFonts w:ascii="Times New Roman" w:hAnsi="Times New Roman" w:eastAsia="標楷體"/>
                <w:sz w:val="28"/>
                <w:szCs w:val="28"/>
              </w:rPr>
              <w:t>附</w:t>
            </w:r>
            <w:r>
              <w:rPr>
                <w:rFonts w:hint="eastAsia" w:ascii="Times New Roman" w:hAnsi="Times New Roman" w:eastAsia="標楷體"/>
                <w:sz w:val="28"/>
                <w:szCs w:val="28"/>
              </w:rPr>
              <w:t>病歷資料及5q相關基因檢測報告。</w:t>
            </w:r>
          </w:p>
        </w:tc>
      </w:tr>
      <w:tr w14:paraId="59D72EBD">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1C8D49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08FD82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肌萎縮性側索</w:t>
            </w:r>
            <w:r>
              <w:rPr>
                <w:rFonts w:ascii="Times New Roman" w:hAnsi="Times New Roman" w:eastAsia="標楷體"/>
                <w:sz w:val="28"/>
                <w:szCs w:val="28"/>
              </w:rPr>
              <w:br w:type="textWrapping"/>
            </w:r>
            <w:r>
              <w:rPr>
                <w:rFonts w:hint="eastAsia" w:ascii="Times New Roman" w:hAnsi="Times New Roman" w:eastAsia="標楷體"/>
                <w:sz w:val="28"/>
                <w:szCs w:val="28"/>
              </w:rPr>
              <w:t>硬化症</w:t>
            </w:r>
            <w:r>
              <w:rPr>
                <w:rFonts w:ascii="Times New Roman" w:hAnsi="Times New Roman" w:eastAsia="標楷體"/>
                <w:sz w:val="28"/>
                <w:szCs w:val="28"/>
              </w:rPr>
              <w:br w:type="textWrapping"/>
            </w:r>
            <w:r>
              <w:rPr>
                <w:rFonts w:ascii="Times New Roman" w:hAnsi="Times New Roman" w:eastAsia="標楷體"/>
                <w:sz w:val="28"/>
                <w:szCs w:val="28"/>
              </w:rPr>
              <w:t>(Amyotrophic lateral sclerosis, ALS)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96343D4">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符合ALS</w:t>
            </w:r>
            <w:r>
              <w:rPr>
                <w:rFonts w:hint="eastAsia" w:ascii="Times New Roman" w:hAnsi="Times New Roman" w:eastAsia="標楷體"/>
                <w:sz w:val="28"/>
                <w:szCs w:val="28"/>
              </w:rPr>
              <w:t>符合臨床表徵並符合所有必要之神經電生理及影像表徵</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02DEDB0">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屬</w:t>
            </w:r>
            <w:r>
              <w:rPr>
                <w:rFonts w:hint="eastAsia" w:ascii="Times New Roman" w:hAnsi="Times New Roman" w:eastAsia="標楷體"/>
                <w:b/>
                <w:sz w:val="28"/>
                <w:szCs w:val="28"/>
                <w:u w:val="single"/>
              </w:rPr>
              <w:t>家族性</w:t>
            </w:r>
            <w:r>
              <w:rPr>
                <w:rFonts w:hint="eastAsia" w:ascii="Times New Roman" w:hAnsi="Times New Roman" w:eastAsia="標楷體"/>
                <w:sz w:val="28"/>
                <w:szCs w:val="28"/>
              </w:rPr>
              <w:t>需檢附基因檢測報告。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D045253">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需</w:t>
            </w:r>
            <w:r>
              <w:rPr>
                <w:rFonts w:hint="eastAsia" w:ascii="Times New Roman" w:hAnsi="Times New Roman" w:eastAsia="標楷體"/>
                <w:sz w:val="28"/>
                <w:szCs w:val="28"/>
              </w:rPr>
              <w:t>檢</w:t>
            </w:r>
            <w:r>
              <w:rPr>
                <w:rFonts w:ascii="Times New Roman" w:hAnsi="Times New Roman" w:eastAsia="標楷體"/>
                <w:sz w:val="28"/>
                <w:szCs w:val="28"/>
              </w:rPr>
              <w:t>附</w:t>
            </w:r>
            <w:r>
              <w:rPr>
                <w:rFonts w:hint="eastAsia" w:ascii="Times New Roman" w:hAnsi="Times New Roman" w:eastAsia="標楷體"/>
                <w:sz w:val="28"/>
                <w:szCs w:val="28"/>
              </w:rPr>
              <w:t>病歷資料(含臨床症狀及徵兆之病歷紀錄與本院或他院多次看診紀錄)、神經電生理檢查資料、影像報告，家族性須附基因檢測報告</w:t>
            </w:r>
            <w:r>
              <w:rPr>
                <w:rFonts w:ascii="Times New Roman" w:hAnsi="Times New Roman" w:eastAsia="標楷體"/>
                <w:sz w:val="28"/>
                <w:szCs w:val="28"/>
              </w:rPr>
              <w:t>。</w:t>
            </w:r>
          </w:p>
        </w:tc>
      </w:tr>
      <w:tr w14:paraId="19F7AC85">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F28FAC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38627E9">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粒線體</w:t>
            </w:r>
            <w:r>
              <w:rPr>
                <w:rFonts w:hint="eastAsia" w:ascii="Times New Roman" w:hAnsi="Times New Roman" w:eastAsia="標楷體"/>
                <w:sz w:val="28"/>
                <w:szCs w:val="28"/>
              </w:rPr>
              <w:t>疾病</w:t>
            </w:r>
          </w:p>
          <w:p w14:paraId="52297045">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(Mitochondrial disease)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AC4E7F4">
            <w:pPr>
              <w:widowControl/>
              <w:adjustRightInd w:val="0"/>
              <w:snapToGrid w:val="0"/>
              <w:spacing w:line="300" w:lineRule="exact"/>
              <w:jc w:val="both"/>
              <w:rPr>
                <w:rFonts w:ascii="Times New Roman" w:hAnsi="Times New Roman" w:eastAsia="標楷體"/>
                <w:sz w:val="28"/>
                <w:szCs w:val="28"/>
              </w:rPr>
            </w:pPr>
            <w:r>
              <w:rPr>
                <w:rFonts w:ascii="Times New Roman" w:hAnsi="Times New Roman" w:eastAsia="標楷體"/>
                <w:sz w:val="28"/>
                <w:szCs w:val="28"/>
              </w:rPr>
              <w:t>(1)符合症候群粒線體</w:t>
            </w:r>
            <w:r>
              <w:rPr>
                <w:rFonts w:hint="eastAsia" w:ascii="Times New Roman" w:hAnsi="Times New Roman" w:eastAsia="標楷體"/>
                <w:sz w:val="28"/>
                <w:szCs w:val="28"/>
              </w:rPr>
              <w:t>缺陷</w:t>
            </w:r>
            <w:r>
              <w:rPr>
                <w:rFonts w:ascii="Times New Roman" w:hAnsi="Times New Roman" w:eastAsia="標楷體"/>
                <w:sz w:val="28"/>
                <w:szCs w:val="28"/>
              </w:rPr>
              <w:t>(Syndromic MD)，且相關致病基因檢</w:t>
            </w:r>
            <w:r>
              <w:rPr>
                <w:rFonts w:hint="eastAsia" w:ascii="Times New Roman" w:hAnsi="Times New Roman" w:eastAsia="標楷體"/>
                <w:sz w:val="28"/>
                <w:szCs w:val="28"/>
              </w:rPr>
              <w:t>測</w:t>
            </w:r>
            <w:r>
              <w:rPr>
                <w:rFonts w:ascii="Times New Roman" w:hAnsi="Times New Roman" w:eastAsia="標楷體"/>
                <w:sz w:val="28"/>
                <w:szCs w:val="28"/>
              </w:rPr>
              <w:t>具突變者。</w:t>
            </w:r>
          </w:p>
          <w:p w14:paraId="0F0329CD">
            <w:pPr>
              <w:widowControl/>
              <w:adjustRightInd w:val="0"/>
              <w:snapToGrid w:val="0"/>
              <w:spacing w:line="300" w:lineRule="exact"/>
              <w:jc w:val="both"/>
              <w:rPr>
                <w:rFonts w:ascii="Times New Roman" w:hAnsi="Times New Roman" w:eastAsia="標楷體"/>
                <w:sz w:val="28"/>
                <w:szCs w:val="28"/>
              </w:rPr>
            </w:pPr>
            <w:r>
              <w:rPr>
                <w:rFonts w:ascii="Times New Roman" w:hAnsi="Times New Roman" w:eastAsia="標楷體"/>
                <w:sz w:val="28"/>
                <w:szCs w:val="28"/>
              </w:rPr>
              <w:t>或(2)符合症候群粒線</w:t>
            </w:r>
            <w:r>
              <w:rPr>
                <w:rFonts w:hint="eastAsia" w:ascii="Times New Roman" w:hAnsi="Times New Roman" w:eastAsia="標楷體"/>
                <w:sz w:val="28"/>
                <w:szCs w:val="28"/>
              </w:rPr>
              <w:t>體臨床表現及</w:t>
            </w:r>
            <w:r>
              <w:rPr>
                <w:rFonts w:ascii="Times New Roman" w:hAnsi="Times New Roman" w:eastAsia="標楷體"/>
                <w:sz w:val="28"/>
                <w:szCs w:val="28"/>
              </w:rPr>
              <w:t>組織切片</w:t>
            </w:r>
            <w:r>
              <w:rPr>
                <w:rFonts w:hint="eastAsia" w:ascii="Times New Roman" w:hAnsi="Times New Roman" w:eastAsia="標楷體"/>
                <w:sz w:val="28"/>
                <w:szCs w:val="28"/>
              </w:rPr>
              <w:t>等</w:t>
            </w:r>
            <w:r>
              <w:rPr>
                <w:rFonts w:ascii="Times New Roman" w:hAnsi="Times New Roman" w:eastAsia="標楷體"/>
                <w:sz w:val="28"/>
                <w:szCs w:val="28"/>
              </w:rPr>
              <w:t>檢查符合細胞粒線</w:t>
            </w:r>
            <w:r>
              <w:rPr>
                <w:rFonts w:hint="eastAsia" w:ascii="Times New Roman" w:hAnsi="Times New Roman" w:eastAsia="標楷體"/>
                <w:sz w:val="28"/>
                <w:szCs w:val="28"/>
              </w:rPr>
              <w:t>體診斷準據</w:t>
            </w:r>
            <w:r>
              <w:rPr>
                <w:rFonts w:ascii="Times New Roman" w:hAnsi="Times New Roman" w:eastAsia="標楷體"/>
                <w:sz w:val="28"/>
                <w:szCs w:val="28"/>
              </w:rPr>
              <w:t>(Bernier criteria 2002 Neurology )之</w:t>
            </w:r>
            <w:r>
              <w:rPr>
                <w:rFonts w:hint="eastAsia" w:ascii="Times New Roman" w:hAnsi="Times New Roman" w:eastAsia="標楷體"/>
                <w:sz w:val="28"/>
                <w:szCs w:val="28"/>
              </w:rPr>
              <w:t>2</w:t>
            </w:r>
            <w:r>
              <w:rPr>
                <w:rFonts w:ascii="Times New Roman" w:hAnsi="Times New Roman" w:eastAsia="標楷體"/>
                <w:sz w:val="28"/>
                <w:szCs w:val="28"/>
              </w:rPr>
              <w:t>項主要準據或</w:t>
            </w:r>
            <w:r>
              <w:rPr>
                <w:rFonts w:hint="eastAsia" w:ascii="Times New Roman" w:hAnsi="Times New Roman" w:eastAsia="標楷體"/>
                <w:sz w:val="28"/>
                <w:szCs w:val="28"/>
              </w:rPr>
              <w:t>1</w:t>
            </w:r>
            <w:r>
              <w:rPr>
                <w:rFonts w:ascii="Times New Roman" w:hAnsi="Times New Roman" w:eastAsia="標楷體"/>
                <w:sz w:val="28"/>
                <w:szCs w:val="28"/>
              </w:rPr>
              <w:t>項主要及</w:t>
            </w:r>
            <w:r>
              <w:rPr>
                <w:rFonts w:hint="eastAsia" w:ascii="Times New Roman" w:hAnsi="Times New Roman" w:eastAsia="標楷體"/>
                <w:sz w:val="28"/>
                <w:szCs w:val="28"/>
              </w:rPr>
              <w:t>2</w:t>
            </w:r>
            <w:r>
              <w:rPr>
                <w:rFonts w:ascii="Times New Roman" w:hAnsi="Times New Roman" w:eastAsia="標楷體"/>
                <w:sz w:val="28"/>
                <w:szCs w:val="28"/>
              </w:rPr>
              <w:t>項次要準據者。</w:t>
            </w:r>
          </w:p>
          <w:p w14:paraId="07674CC2">
            <w:pPr>
              <w:widowControl/>
              <w:adjustRightInd w:val="0"/>
              <w:snapToGrid w:val="0"/>
              <w:spacing w:line="300" w:lineRule="exact"/>
              <w:jc w:val="both"/>
              <w:rPr>
                <w:rFonts w:ascii="Times New Roman" w:hAnsi="Times New Roman" w:eastAsia="標楷體"/>
                <w:sz w:val="28"/>
                <w:szCs w:val="28"/>
              </w:rPr>
            </w:pPr>
            <w:r>
              <w:rPr>
                <w:rFonts w:ascii="Times New Roman" w:hAnsi="Times New Roman" w:eastAsia="標楷體"/>
                <w:sz w:val="28"/>
                <w:szCs w:val="28"/>
              </w:rPr>
              <w:t>或(3)</w:t>
            </w:r>
            <w:r>
              <w:rPr>
                <w:rFonts w:hint="eastAsia" w:ascii="Times New Roman" w:hAnsi="Times New Roman" w:eastAsia="標楷體"/>
                <w:sz w:val="28"/>
                <w:szCs w:val="28"/>
              </w:rPr>
              <w:t>符合非症候群粒線體缺陷</w:t>
            </w:r>
            <w:r>
              <w:rPr>
                <w:rFonts w:ascii="Times New Roman" w:hAnsi="Times New Roman" w:eastAsia="標楷體"/>
                <w:sz w:val="28"/>
                <w:szCs w:val="28"/>
              </w:rPr>
              <w:t>(non-syndromic MD)</w:t>
            </w:r>
            <w:r>
              <w:rPr>
                <w:rFonts w:hint="eastAsia" w:ascii="Times New Roman" w:hAnsi="Times New Roman" w:eastAsia="標楷體"/>
                <w:sz w:val="28"/>
                <w:szCs w:val="28"/>
              </w:rPr>
              <w:t>符合相關之臨床表徵，且</w:t>
            </w:r>
            <w:r>
              <w:rPr>
                <w:rFonts w:ascii="Times New Roman" w:hAnsi="Times New Roman" w:eastAsia="標楷體"/>
                <w:sz w:val="28"/>
                <w:szCs w:val="28"/>
              </w:rPr>
              <w:t>相關致病基因檢</w:t>
            </w:r>
            <w:r>
              <w:rPr>
                <w:rFonts w:hint="eastAsia" w:ascii="Times New Roman" w:hAnsi="Times New Roman" w:eastAsia="標楷體"/>
                <w:sz w:val="28"/>
                <w:szCs w:val="28"/>
              </w:rPr>
              <w:t>測</w:t>
            </w:r>
            <w:r>
              <w:rPr>
                <w:rFonts w:ascii="Times New Roman" w:hAnsi="Times New Roman" w:eastAsia="標楷體"/>
                <w:sz w:val="28"/>
                <w:szCs w:val="28"/>
              </w:rPr>
              <w:t>具突變者。</w:t>
            </w:r>
          </w:p>
          <w:p w14:paraId="20F85332">
            <w:pPr>
              <w:widowControl/>
              <w:adjustRightInd w:val="0"/>
              <w:snapToGrid w:val="0"/>
              <w:spacing w:line="300" w:lineRule="exact"/>
              <w:jc w:val="both"/>
              <w:rPr>
                <w:rFonts w:ascii="Times New Roman" w:hAnsi="Times New Roman" w:eastAsia="標楷體"/>
                <w:sz w:val="28"/>
                <w:szCs w:val="28"/>
              </w:rPr>
            </w:pPr>
            <w:r>
              <w:rPr>
                <w:rFonts w:hint="eastAsia" w:ascii="Times New Roman" w:hAnsi="Times New Roman" w:eastAsia="標楷體"/>
                <w:sz w:val="28"/>
                <w:szCs w:val="28"/>
              </w:rPr>
              <w:t>或(4)</w:t>
            </w:r>
            <w:r>
              <w:rPr>
                <w:rFonts w:ascii="Times New Roman" w:hAnsi="Times New Roman" w:eastAsia="標楷體"/>
                <w:sz w:val="28"/>
                <w:szCs w:val="28"/>
              </w:rPr>
              <w:t>非症候群粒線體</w:t>
            </w:r>
            <w:r>
              <w:rPr>
                <w:rFonts w:hint="eastAsia" w:ascii="Times New Roman" w:hAnsi="Times New Roman" w:eastAsia="標楷體"/>
                <w:sz w:val="28"/>
                <w:szCs w:val="28"/>
              </w:rPr>
              <w:t>缺陷</w:t>
            </w:r>
            <w:r>
              <w:rPr>
                <w:rFonts w:ascii="Times New Roman" w:hAnsi="Times New Roman" w:eastAsia="標楷體"/>
                <w:sz w:val="28"/>
                <w:szCs w:val="28"/>
              </w:rPr>
              <w:t>之臨床表現</w:t>
            </w:r>
            <w:r>
              <w:rPr>
                <w:rFonts w:hint="eastAsia" w:ascii="Times New Roman" w:hAnsi="Times New Roman" w:eastAsia="標楷體"/>
                <w:sz w:val="28"/>
                <w:szCs w:val="28"/>
              </w:rPr>
              <w:t>及組織切片等檢查</w:t>
            </w:r>
            <w:r>
              <w:rPr>
                <w:rFonts w:ascii="Times New Roman" w:hAnsi="Times New Roman" w:eastAsia="標楷體"/>
                <w:sz w:val="28"/>
                <w:szCs w:val="28"/>
              </w:rPr>
              <w:t>符合粒線體診斷準據(Bernier criteria 2002 Neurology )之</w:t>
            </w:r>
            <w:r>
              <w:rPr>
                <w:rFonts w:hint="eastAsia" w:ascii="Times New Roman" w:hAnsi="Times New Roman" w:eastAsia="標楷體"/>
                <w:sz w:val="28"/>
                <w:szCs w:val="28"/>
              </w:rPr>
              <w:t>2</w:t>
            </w:r>
            <w:r>
              <w:rPr>
                <w:rFonts w:ascii="Times New Roman" w:hAnsi="Times New Roman" w:eastAsia="標楷體"/>
                <w:sz w:val="28"/>
                <w:szCs w:val="28"/>
              </w:rPr>
              <w:t>項主要準據或</w:t>
            </w:r>
            <w:r>
              <w:rPr>
                <w:rFonts w:hint="eastAsia" w:ascii="Times New Roman" w:hAnsi="Times New Roman" w:eastAsia="標楷體"/>
                <w:sz w:val="28"/>
                <w:szCs w:val="28"/>
              </w:rPr>
              <w:t>1</w:t>
            </w:r>
            <w:r>
              <w:rPr>
                <w:rFonts w:ascii="Times New Roman" w:hAnsi="Times New Roman" w:eastAsia="標楷體"/>
                <w:sz w:val="28"/>
                <w:szCs w:val="28"/>
              </w:rPr>
              <w:t>項主要及</w:t>
            </w:r>
            <w:r>
              <w:rPr>
                <w:rFonts w:hint="eastAsia" w:ascii="Times New Roman" w:hAnsi="Times New Roman" w:eastAsia="標楷體"/>
                <w:sz w:val="28"/>
                <w:szCs w:val="28"/>
              </w:rPr>
              <w:t>2</w:t>
            </w:r>
            <w:r>
              <w:rPr>
                <w:rFonts w:ascii="Times New Roman" w:hAnsi="Times New Roman" w:eastAsia="標楷體"/>
                <w:sz w:val="28"/>
                <w:szCs w:val="28"/>
              </w:rPr>
              <w:t>項次要準據者。</w:t>
            </w:r>
          </w:p>
        </w:tc>
        <w:tc>
          <w:tcPr>
            <w:tcW w:w="801" w:type="pct"/>
            <w:tcBorders>
              <w:top w:val="single" w:color="000000" w:sz="4" w:space="0"/>
              <w:left w:val="single" w:color="000000" w:sz="4" w:space="0"/>
              <w:bottom w:val="single" w:color="000000" w:sz="4" w:space="0"/>
              <w:right w:val="single" w:color="000000" w:sz="4" w:space="0"/>
            </w:tcBorders>
          </w:tcPr>
          <w:p w14:paraId="719C58C9">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，需檢附粒線體缺陷相關之基因檢測報告。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6071CFF">
            <w:pPr>
              <w:widowControl/>
              <w:adjustRightInd w:val="0"/>
              <w:snapToGrid w:val="0"/>
              <w:spacing w:line="300" w:lineRule="exact"/>
              <w:jc w:val="both"/>
              <w:rPr>
                <w:rFonts w:ascii="Times New Roman" w:hAnsi="Times New Roman" w:eastAsia="標楷體"/>
                <w:sz w:val="28"/>
                <w:szCs w:val="28"/>
              </w:rPr>
            </w:pPr>
            <w:r>
              <w:rPr>
                <w:rFonts w:ascii="Times New Roman" w:hAnsi="Times New Roman" w:eastAsia="標楷體"/>
                <w:sz w:val="28"/>
                <w:szCs w:val="28"/>
              </w:rPr>
              <w:t>符合(1)(2)者，需</w:t>
            </w:r>
            <w:r>
              <w:rPr>
                <w:rFonts w:hint="eastAsia" w:ascii="Times New Roman" w:hAnsi="Times New Roman" w:eastAsia="標楷體"/>
                <w:sz w:val="28"/>
                <w:szCs w:val="28"/>
              </w:rPr>
              <w:t>檢</w:t>
            </w:r>
            <w:r>
              <w:rPr>
                <w:rFonts w:ascii="Times New Roman" w:hAnsi="Times New Roman" w:eastAsia="標楷體"/>
                <w:sz w:val="28"/>
                <w:szCs w:val="28"/>
              </w:rPr>
              <w:t>附</w:t>
            </w:r>
            <w:r>
              <w:rPr>
                <w:rFonts w:ascii="Times New Roman" w:hAnsi="Times New Roman" w:eastAsia="標楷體"/>
                <w:b/>
                <w:sz w:val="28"/>
                <w:szCs w:val="28"/>
                <w:u w:val="single"/>
              </w:rPr>
              <w:t>症候群</w:t>
            </w:r>
            <w:r>
              <w:rPr>
                <w:rFonts w:ascii="Times New Roman" w:hAnsi="Times New Roman" w:eastAsia="標楷體"/>
                <w:sz w:val="28"/>
                <w:szCs w:val="28"/>
              </w:rPr>
              <w:t>粒線</w:t>
            </w:r>
            <w:r>
              <w:rPr>
                <w:rFonts w:hint="eastAsia" w:ascii="Times New Roman" w:hAnsi="Times New Roman" w:eastAsia="標楷體"/>
                <w:sz w:val="28"/>
                <w:szCs w:val="28"/>
              </w:rPr>
              <w:t>體缺陷</w:t>
            </w:r>
            <w:r>
              <w:rPr>
                <w:rFonts w:ascii="Times New Roman" w:hAnsi="Times New Roman" w:eastAsia="標楷體"/>
                <w:sz w:val="28"/>
                <w:szCs w:val="28"/>
              </w:rPr>
              <w:t>之臨床症狀及徵兆的病歷紀錄及檢查報告(包括基因檢測報告)。</w:t>
            </w:r>
          </w:p>
          <w:p w14:paraId="29F00D6C">
            <w:pPr>
              <w:widowControl/>
              <w:adjustRightInd w:val="0"/>
              <w:snapToGrid w:val="0"/>
              <w:spacing w:line="300" w:lineRule="exact"/>
              <w:jc w:val="both"/>
              <w:rPr>
                <w:rFonts w:ascii="Times New Roman" w:hAnsi="Times New Roman" w:eastAsia="標楷體"/>
                <w:sz w:val="28"/>
                <w:szCs w:val="28"/>
              </w:rPr>
            </w:pPr>
          </w:p>
          <w:p w14:paraId="793FB735">
            <w:pPr>
              <w:widowControl/>
              <w:adjustRightInd w:val="0"/>
              <w:snapToGrid w:val="0"/>
              <w:spacing w:line="300" w:lineRule="exact"/>
              <w:jc w:val="both"/>
              <w:rPr>
                <w:rFonts w:ascii="Times New Roman" w:hAnsi="Times New Roman" w:eastAsia="標楷體"/>
                <w:sz w:val="28"/>
                <w:szCs w:val="28"/>
              </w:rPr>
            </w:pPr>
          </w:p>
          <w:p w14:paraId="1C645754">
            <w:pPr>
              <w:widowControl/>
              <w:adjustRightInd w:val="0"/>
              <w:snapToGrid w:val="0"/>
              <w:spacing w:line="300" w:lineRule="exact"/>
              <w:jc w:val="both"/>
              <w:rPr>
                <w:rFonts w:ascii="Times New Roman" w:hAnsi="Times New Roman" w:eastAsia="標楷體"/>
                <w:sz w:val="28"/>
                <w:szCs w:val="28"/>
              </w:rPr>
            </w:pPr>
          </w:p>
          <w:p w14:paraId="5076FAB8">
            <w:pPr>
              <w:widowControl/>
              <w:adjustRightInd w:val="0"/>
              <w:snapToGrid w:val="0"/>
              <w:spacing w:line="300" w:lineRule="exact"/>
              <w:jc w:val="both"/>
              <w:rPr>
                <w:rFonts w:ascii="Times New Roman" w:hAnsi="Times New Roman" w:eastAsia="標楷體"/>
                <w:sz w:val="28"/>
                <w:szCs w:val="28"/>
              </w:rPr>
            </w:pPr>
          </w:p>
          <w:p w14:paraId="7F7D5070">
            <w:pPr>
              <w:widowControl/>
              <w:adjustRightInd w:val="0"/>
              <w:snapToGrid w:val="0"/>
              <w:spacing w:line="300" w:lineRule="exact"/>
              <w:jc w:val="both"/>
              <w:rPr>
                <w:rFonts w:ascii="Times New Roman" w:hAnsi="Times New Roman" w:eastAsia="標楷體"/>
                <w:sz w:val="28"/>
                <w:szCs w:val="28"/>
              </w:rPr>
            </w:pPr>
          </w:p>
          <w:p w14:paraId="0583D29A">
            <w:pPr>
              <w:widowControl/>
              <w:adjustRightInd w:val="0"/>
              <w:snapToGrid w:val="0"/>
              <w:spacing w:line="300" w:lineRule="exact"/>
              <w:jc w:val="both"/>
              <w:rPr>
                <w:rFonts w:ascii="Times New Roman" w:hAnsi="Times New Roman" w:eastAsia="標楷體"/>
                <w:sz w:val="28"/>
                <w:szCs w:val="28"/>
              </w:rPr>
            </w:pPr>
          </w:p>
          <w:p w14:paraId="2D32FF71">
            <w:pPr>
              <w:widowControl/>
              <w:adjustRightInd w:val="0"/>
              <w:snapToGrid w:val="0"/>
              <w:spacing w:line="300" w:lineRule="exact"/>
              <w:jc w:val="both"/>
              <w:rPr>
                <w:rFonts w:ascii="Times New Roman" w:hAnsi="Times New Roman" w:eastAsia="標楷體"/>
                <w:sz w:val="28"/>
                <w:szCs w:val="28"/>
              </w:rPr>
            </w:pPr>
          </w:p>
          <w:p w14:paraId="187E4CF2">
            <w:pPr>
              <w:widowControl/>
              <w:adjustRightInd w:val="0"/>
              <w:snapToGrid w:val="0"/>
              <w:spacing w:line="300" w:lineRule="exact"/>
              <w:jc w:val="both"/>
              <w:rPr>
                <w:rFonts w:ascii="Times New Roman" w:hAnsi="Times New Roman" w:eastAsia="標楷體"/>
                <w:sz w:val="28"/>
                <w:szCs w:val="28"/>
              </w:rPr>
            </w:pPr>
          </w:p>
          <w:p w14:paraId="405AB0E9">
            <w:pPr>
              <w:widowControl/>
              <w:adjustRightInd w:val="0"/>
              <w:snapToGrid w:val="0"/>
              <w:spacing w:line="300" w:lineRule="exact"/>
              <w:jc w:val="both"/>
              <w:rPr>
                <w:rFonts w:ascii="Times New Roman" w:hAnsi="Times New Roman" w:eastAsia="標楷體"/>
                <w:sz w:val="28"/>
                <w:szCs w:val="28"/>
              </w:rPr>
            </w:pPr>
          </w:p>
          <w:p w14:paraId="7241C20B">
            <w:pPr>
              <w:widowControl/>
              <w:adjustRightInd w:val="0"/>
              <w:snapToGrid w:val="0"/>
              <w:spacing w:line="300" w:lineRule="exact"/>
              <w:jc w:val="both"/>
              <w:rPr>
                <w:rFonts w:ascii="Times New Roman" w:hAnsi="Times New Roman" w:eastAsia="標楷體"/>
                <w:sz w:val="28"/>
                <w:szCs w:val="28"/>
              </w:rPr>
            </w:pPr>
          </w:p>
          <w:p w14:paraId="5FBE134F">
            <w:pPr>
              <w:widowControl/>
              <w:adjustRightInd w:val="0"/>
              <w:snapToGrid w:val="0"/>
              <w:spacing w:line="300" w:lineRule="exact"/>
              <w:jc w:val="both"/>
              <w:rPr>
                <w:rFonts w:ascii="Times New Roman" w:hAnsi="Times New Roman" w:eastAsia="標楷體"/>
                <w:sz w:val="28"/>
                <w:szCs w:val="28"/>
              </w:rPr>
            </w:pPr>
            <w:r>
              <w:rPr>
                <w:rFonts w:ascii="Times New Roman" w:hAnsi="Times New Roman" w:eastAsia="標楷體"/>
                <w:sz w:val="28"/>
                <w:szCs w:val="28"/>
              </w:rPr>
              <w:t>符合(3)</w:t>
            </w:r>
            <w:r>
              <w:rPr>
                <w:rFonts w:hint="eastAsia" w:ascii="Times New Roman" w:hAnsi="Times New Roman" w:eastAsia="標楷體"/>
                <w:sz w:val="28"/>
                <w:szCs w:val="28"/>
              </w:rPr>
              <w:t>(</w:t>
            </w:r>
            <w:r>
              <w:rPr>
                <w:rFonts w:ascii="Times New Roman" w:hAnsi="Times New Roman" w:eastAsia="標楷體"/>
                <w:sz w:val="28"/>
                <w:szCs w:val="28"/>
              </w:rPr>
              <w:t>4)者，需</w:t>
            </w:r>
            <w:r>
              <w:rPr>
                <w:rFonts w:hint="eastAsia" w:ascii="Times New Roman" w:hAnsi="Times New Roman" w:eastAsia="標楷體"/>
                <w:sz w:val="28"/>
                <w:szCs w:val="28"/>
              </w:rPr>
              <w:t>檢</w:t>
            </w:r>
            <w:r>
              <w:rPr>
                <w:rFonts w:ascii="Times New Roman" w:hAnsi="Times New Roman" w:eastAsia="標楷體"/>
                <w:sz w:val="28"/>
                <w:szCs w:val="28"/>
              </w:rPr>
              <w:t>附</w:t>
            </w:r>
            <w:r>
              <w:rPr>
                <w:rFonts w:ascii="Times New Roman" w:hAnsi="Times New Roman" w:eastAsia="標楷體"/>
                <w:b/>
                <w:sz w:val="28"/>
                <w:szCs w:val="28"/>
              </w:rPr>
              <w:t>非症候群</w:t>
            </w:r>
            <w:r>
              <w:rPr>
                <w:rFonts w:ascii="Times New Roman" w:hAnsi="Times New Roman" w:eastAsia="標楷體"/>
                <w:sz w:val="28"/>
                <w:szCs w:val="28"/>
              </w:rPr>
              <w:t>粒線體</w:t>
            </w:r>
            <w:r>
              <w:rPr>
                <w:rFonts w:hint="eastAsia" w:ascii="Times New Roman" w:hAnsi="Times New Roman" w:eastAsia="標楷體"/>
                <w:sz w:val="28"/>
                <w:szCs w:val="28"/>
              </w:rPr>
              <w:t>缺陷</w:t>
            </w:r>
            <w:r>
              <w:rPr>
                <w:rFonts w:ascii="Times New Roman" w:hAnsi="Times New Roman" w:eastAsia="標楷體"/>
                <w:sz w:val="28"/>
                <w:szCs w:val="28"/>
              </w:rPr>
              <w:t>之</w:t>
            </w:r>
            <w:r>
              <w:rPr>
                <w:rFonts w:hint="eastAsia" w:ascii="Times New Roman" w:hAnsi="Times New Roman" w:eastAsia="標楷體"/>
                <w:sz w:val="28"/>
                <w:szCs w:val="28"/>
              </w:rPr>
              <w:t>臨床症狀及徵兆的病歷紀錄及檢查報告(包括基因檢測報告)</w:t>
            </w:r>
            <w:r>
              <w:rPr>
                <w:rFonts w:ascii="Times New Roman" w:hAnsi="Times New Roman" w:eastAsia="標楷體"/>
                <w:sz w:val="28"/>
                <w:szCs w:val="28"/>
              </w:rPr>
              <w:t>。</w:t>
            </w:r>
          </w:p>
        </w:tc>
      </w:tr>
      <w:tr w14:paraId="5B285445">
        <w:tblPrEx>
          <w:tblCellMar>
            <w:top w:w="0" w:type="dxa"/>
            <w:left w:w="10" w:type="dxa"/>
            <w:bottom w:w="0" w:type="dxa"/>
            <w:right w:w="10" w:type="dxa"/>
          </w:tblCellMar>
        </w:tblPrEx>
        <w:trPr>
          <w:trHeight w:val="4422"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DA2369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3153B9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特發性或遺傳性</w:t>
            </w:r>
            <w:r>
              <w:rPr>
                <w:rFonts w:ascii="Times New Roman" w:hAnsi="Times New Roman" w:eastAsia="標楷體"/>
                <w:sz w:val="28"/>
                <w:szCs w:val="28"/>
              </w:rPr>
              <w:br w:type="textWrapping"/>
            </w:r>
            <w:r>
              <w:rPr>
                <w:rFonts w:hint="eastAsia" w:ascii="Times New Roman" w:hAnsi="Times New Roman" w:eastAsia="標楷體"/>
                <w:sz w:val="28"/>
                <w:szCs w:val="28"/>
              </w:rPr>
              <w:t>肺動脈高壓</w:t>
            </w:r>
          </w:p>
          <w:p w14:paraId="409CBA12">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(Idiopathic or Heritable pulmonary arterial hypertension, IPAH or HPAH)</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79B1BAE">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臨床上具肺動脈高壓之症狀及徵兆，且心臟超音波及心導管檢查符合肺動脈高壓，並排除次發性肺動脈高壓之原因。</w:t>
            </w:r>
          </w:p>
        </w:tc>
        <w:tc>
          <w:tcPr>
            <w:tcW w:w="801" w:type="pct"/>
            <w:tcBorders>
              <w:top w:val="single" w:color="000000" w:sz="4" w:space="0"/>
              <w:left w:val="single" w:color="000000" w:sz="4" w:space="0"/>
              <w:bottom w:val="single" w:color="000000" w:sz="4" w:space="0"/>
              <w:right w:val="single" w:color="000000" w:sz="4" w:space="0"/>
            </w:tcBorders>
          </w:tcPr>
          <w:p w14:paraId="7481C590">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如為遺傳性疾病，須檢附詳細家族史與相關基因檢測報告。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1851FF9">
            <w:pPr>
              <w:widowControl/>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需</w:t>
            </w:r>
            <w:r>
              <w:rPr>
                <w:rFonts w:hint="eastAsia" w:ascii="Times New Roman" w:hAnsi="Times New Roman" w:eastAsia="標楷體"/>
                <w:sz w:val="28"/>
                <w:szCs w:val="28"/>
              </w:rPr>
              <w:t>檢</w:t>
            </w:r>
            <w:r>
              <w:rPr>
                <w:rFonts w:ascii="Times New Roman" w:hAnsi="Times New Roman" w:eastAsia="標楷體"/>
                <w:sz w:val="28"/>
                <w:szCs w:val="28"/>
              </w:rPr>
              <w:t>附</w:t>
            </w:r>
            <w:r>
              <w:rPr>
                <w:rFonts w:hint="eastAsia" w:ascii="Times New Roman" w:hAnsi="Times New Roman" w:eastAsia="標楷體"/>
                <w:sz w:val="28"/>
                <w:szCs w:val="28"/>
              </w:rPr>
              <w:t>(1)臨床症狀及徵兆之病歷紀錄(含病史、個人史及用藥史等)、(2)心臟超音波及心導管檢查報告，並具肺動脈壓數據、(3)排除次發性肺動脈高壓相關原因之檢驗報告及佐證資料、(4)與本疾病相關之正式入院及出院病歷摘要、(5)如為遺傳性應檢附詳細家族史與相關基因檢測報告、(6)其他檢查、影像資料或說明。</w:t>
            </w:r>
          </w:p>
        </w:tc>
      </w:tr>
      <w:tr w14:paraId="00400C01">
        <w:tblPrEx>
          <w:tblCellMar>
            <w:top w:w="0" w:type="dxa"/>
            <w:left w:w="10" w:type="dxa"/>
            <w:bottom w:w="0" w:type="dxa"/>
            <w:right w:w="10" w:type="dxa"/>
          </w:tblCellMar>
        </w:tblPrEx>
        <w:trPr>
          <w:trHeight w:val="351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535B97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919521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雷</w:t>
            </w:r>
            <w:r>
              <w:rPr>
                <w:rFonts w:ascii="Times New Roman" w:hAnsi="Times New Roman" w:eastAsia="標楷體"/>
                <w:sz w:val="28"/>
                <w:szCs w:val="28"/>
              </w:rPr>
              <w:t>特氏症</w:t>
            </w:r>
            <w:r>
              <w:rPr>
                <w:rFonts w:hint="eastAsia" w:ascii="Times New Roman" w:hAnsi="Times New Roman" w:eastAsia="標楷體"/>
                <w:sz w:val="28"/>
                <w:szCs w:val="28"/>
              </w:rPr>
              <w:t>候群</w:t>
            </w:r>
          </w:p>
          <w:p w14:paraId="0B6E1A5D">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(Rett syndrome</w:t>
            </w:r>
            <w:r>
              <w:rPr>
                <w:rFonts w:hint="eastAsia" w:ascii="Times New Roman" w:hAnsi="Times New Roman" w:eastAsia="標楷體"/>
                <w:sz w:val="28"/>
                <w:szCs w:val="28"/>
              </w:rPr>
              <w:t>, RTT</w:t>
            </w:r>
            <w:r>
              <w:rPr>
                <w:rFonts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9F62081">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MeCP2變異陽性並</w:t>
            </w:r>
          </w:p>
          <w:p w14:paraId="1249A99E">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(1)符合必要臨床表徵、2項排除性臨床表徵及4項主要臨床表徵，或 (2)符合必要臨床表徵、2項排除性臨床表徵、</w:t>
            </w:r>
            <w:r>
              <w:rPr>
                <w:rFonts w:ascii="Times New Roman" w:hAnsi="Times New Roman" w:eastAsia="標楷體"/>
                <w:sz w:val="28"/>
                <w:szCs w:val="28"/>
              </w:rPr>
              <w:t>≥2</w:t>
            </w:r>
            <w:r>
              <w:rPr>
                <w:rFonts w:hint="eastAsia" w:ascii="Times New Roman" w:hAnsi="Times New Roman" w:eastAsia="標楷體"/>
                <w:sz w:val="28"/>
                <w:szCs w:val="28"/>
              </w:rPr>
              <w:t>項主要臨床表徵及</w:t>
            </w:r>
            <w:r>
              <w:rPr>
                <w:rFonts w:ascii="Times New Roman" w:hAnsi="Times New Roman" w:eastAsia="標楷體"/>
                <w:sz w:val="28"/>
                <w:szCs w:val="28"/>
              </w:rPr>
              <w:t>≥5</w:t>
            </w:r>
            <w:r>
              <w:rPr>
                <w:rFonts w:hint="eastAsia" w:ascii="Times New Roman" w:hAnsi="Times New Roman" w:eastAsia="標楷體"/>
                <w:sz w:val="28"/>
                <w:szCs w:val="28"/>
              </w:rPr>
              <w:t>項支持性臨床表徵。</w:t>
            </w:r>
          </w:p>
        </w:tc>
        <w:tc>
          <w:tcPr>
            <w:tcW w:w="801" w:type="pct"/>
            <w:tcBorders>
              <w:top w:val="single" w:color="000000" w:sz="4" w:space="0"/>
              <w:left w:val="single" w:color="000000" w:sz="4" w:space="0"/>
              <w:bottom w:val="single" w:color="000000" w:sz="4" w:space="0"/>
              <w:right w:val="single" w:color="000000" w:sz="4" w:space="0"/>
            </w:tcBorders>
          </w:tcPr>
          <w:p w14:paraId="2EFCC115">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MeCP2</w:t>
            </w:r>
            <w:r>
              <w:rPr>
                <w:rFonts w:hint="eastAsia" w:ascii="Times New Roman" w:hAnsi="Times New Roman" w:eastAsia="標楷體"/>
                <w:sz w:val="28"/>
                <w:szCs w:val="28"/>
              </w:rPr>
              <w:t>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187FC53">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需檢附病歷紀錄(主要臨床表徵、病程發展過程、發展里程碑、排除性臨床表徵、支持性臨床表徵等)及基因檢測報告。</w:t>
            </w:r>
          </w:p>
          <w:p w14:paraId="48E7D0BF">
            <w:pPr>
              <w:widowControl/>
              <w:adjustRightInd w:val="0"/>
              <w:snapToGrid w:val="0"/>
              <w:spacing w:line="320" w:lineRule="exact"/>
              <w:jc w:val="both"/>
              <w:rPr>
                <w:rFonts w:ascii="Times New Roman" w:hAnsi="Times New Roman" w:eastAsia="標楷體"/>
                <w:sz w:val="28"/>
                <w:szCs w:val="28"/>
              </w:rPr>
            </w:pPr>
          </w:p>
        </w:tc>
      </w:tr>
      <w:tr w14:paraId="7FF0FB8D">
        <w:tblPrEx>
          <w:tblCellMar>
            <w:top w:w="0" w:type="dxa"/>
            <w:left w:w="10" w:type="dxa"/>
            <w:bottom w:w="0" w:type="dxa"/>
            <w:right w:w="10" w:type="dxa"/>
          </w:tblCellMar>
        </w:tblPrEx>
        <w:trPr>
          <w:trHeight w:val="413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41922F5">
            <w:pPr>
              <w:widowControl/>
              <w:adjustRightInd w:val="0"/>
              <w:snapToGrid w:val="0"/>
              <w:spacing w:line="320" w:lineRule="exact"/>
              <w:jc w:val="center"/>
              <w:rPr>
                <w:rFonts w:ascii="Times New Roman" w:hAnsi="Times New Roman" w:eastAsia="標楷體"/>
                <w:spacing w:val="2"/>
                <w:sz w:val="28"/>
                <w:szCs w:val="28"/>
              </w:rPr>
            </w:pPr>
            <w:r>
              <w:rPr>
                <w:rFonts w:hint="eastAsia" w:ascii="Times New Roman" w:hAnsi="Times New Roman" w:eastAsia="標楷體"/>
                <w:spacing w:val="2"/>
                <w:sz w:val="28"/>
                <w:szCs w:val="28"/>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35EEB5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pacing w:val="2"/>
                <w:sz w:val="28"/>
                <w:szCs w:val="28"/>
              </w:rPr>
              <w:t>Emery–Dreifuss肌失養症</w:t>
            </w:r>
            <w:r>
              <w:rPr>
                <w:rFonts w:ascii="Times New Roman" w:hAnsi="Times New Roman" w:eastAsia="標楷體"/>
                <w:spacing w:val="2"/>
                <w:sz w:val="28"/>
                <w:szCs w:val="28"/>
              </w:rPr>
              <w:br w:type="textWrapping"/>
            </w:r>
            <w:r>
              <w:rPr>
                <w:rFonts w:ascii="Times New Roman" w:hAnsi="Times New Roman" w:eastAsia="標楷體"/>
                <w:bCs/>
                <w:spacing w:val="-1"/>
                <w:sz w:val="28"/>
                <w:szCs w:val="28"/>
              </w:rPr>
              <w:t>(E</w:t>
            </w:r>
            <w:r>
              <w:rPr>
                <w:rFonts w:ascii="Times New Roman" w:hAnsi="Times New Roman" w:eastAsia="標楷體"/>
                <w:bCs/>
                <w:spacing w:val="2"/>
                <w:sz w:val="28"/>
                <w:szCs w:val="28"/>
              </w:rPr>
              <w:t>m</w:t>
            </w:r>
            <w:r>
              <w:rPr>
                <w:rFonts w:ascii="Times New Roman" w:hAnsi="Times New Roman" w:eastAsia="標楷體"/>
                <w:bCs/>
                <w:sz w:val="28"/>
                <w:szCs w:val="28"/>
              </w:rPr>
              <w:t>e</w:t>
            </w:r>
            <w:r>
              <w:rPr>
                <w:rFonts w:ascii="Times New Roman" w:hAnsi="Times New Roman" w:eastAsia="標楷體"/>
                <w:bCs/>
                <w:spacing w:val="2"/>
                <w:sz w:val="28"/>
                <w:szCs w:val="28"/>
              </w:rPr>
              <w:t>r</w:t>
            </w:r>
            <w:r>
              <w:rPr>
                <w:rFonts w:ascii="Times New Roman" w:hAnsi="Times New Roman" w:eastAsia="標楷體"/>
                <w:bCs/>
                <w:spacing w:val="-6"/>
                <w:sz w:val="28"/>
                <w:szCs w:val="28"/>
              </w:rPr>
              <w:t>y</w:t>
            </w:r>
            <w:r>
              <w:rPr>
                <w:rFonts w:ascii="Times New Roman" w:hAnsi="Times New Roman" w:eastAsia="標楷體"/>
                <w:bCs/>
                <w:sz w:val="28"/>
                <w:szCs w:val="28"/>
              </w:rPr>
              <w:t>–Dr</w:t>
            </w:r>
            <w:r>
              <w:rPr>
                <w:rFonts w:ascii="Times New Roman" w:hAnsi="Times New Roman" w:eastAsia="標楷體"/>
                <w:bCs/>
                <w:spacing w:val="2"/>
                <w:sz w:val="28"/>
                <w:szCs w:val="28"/>
              </w:rPr>
              <w:t>e</w:t>
            </w:r>
            <w:r>
              <w:rPr>
                <w:rFonts w:ascii="Times New Roman" w:hAnsi="Times New Roman" w:eastAsia="標楷體"/>
                <w:bCs/>
                <w:spacing w:val="-1"/>
                <w:sz w:val="28"/>
                <w:szCs w:val="28"/>
              </w:rPr>
              <w:t>i</w:t>
            </w:r>
            <w:r>
              <w:rPr>
                <w:rFonts w:ascii="Times New Roman" w:hAnsi="Times New Roman" w:eastAsia="標楷體"/>
                <w:bCs/>
                <w:spacing w:val="2"/>
                <w:sz w:val="28"/>
                <w:szCs w:val="28"/>
              </w:rPr>
              <w:t>f</w:t>
            </w:r>
            <w:r>
              <w:rPr>
                <w:rFonts w:ascii="Times New Roman" w:hAnsi="Times New Roman" w:eastAsia="標楷體"/>
                <w:bCs/>
                <w:spacing w:val="-1"/>
                <w:sz w:val="28"/>
                <w:szCs w:val="28"/>
              </w:rPr>
              <w:t>us</w:t>
            </w:r>
            <w:r>
              <w:rPr>
                <w:rFonts w:ascii="Times New Roman" w:hAnsi="Times New Roman" w:eastAsia="標楷體"/>
                <w:bCs/>
                <w:sz w:val="28"/>
                <w:szCs w:val="28"/>
              </w:rPr>
              <w:t>s</w:t>
            </w:r>
            <w:r>
              <w:rPr>
                <w:rFonts w:ascii="Times New Roman" w:hAnsi="Times New Roman" w:eastAsia="標楷體"/>
                <w:bCs/>
                <w:spacing w:val="-16"/>
                <w:sz w:val="28"/>
                <w:szCs w:val="28"/>
              </w:rPr>
              <w:t xml:space="preserve"> </w:t>
            </w:r>
            <w:r>
              <w:rPr>
                <w:rFonts w:ascii="Times New Roman" w:hAnsi="Times New Roman" w:eastAsia="標楷體"/>
                <w:bCs/>
                <w:spacing w:val="2"/>
                <w:sz w:val="28"/>
                <w:szCs w:val="28"/>
              </w:rPr>
              <w:t>mu</w:t>
            </w:r>
            <w:r>
              <w:rPr>
                <w:rFonts w:ascii="Times New Roman" w:hAnsi="Times New Roman" w:eastAsia="標楷體"/>
                <w:bCs/>
                <w:spacing w:val="-1"/>
                <w:sz w:val="28"/>
                <w:szCs w:val="28"/>
              </w:rPr>
              <w:t>s</w:t>
            </w:r>
            <w:r>
              <w:rPr>
                <w:rFonts w:ascii="Times New Roman" w:hAnsi="Times New Roman" w:eastAsia="標楷體"/>
                <w:bCs/>
                <w:sz w:val="28"/>
                <w:szCs w:val="28"/>
              </w:rPr>
              <w:t>c</w:t>
            </w:r>
            <w:r>
              <w:rPr>
                <w:rFonts w:ascii="Times New Roman" w:hAnsi="Times New Roman" w:eastAsia="標楷體"/>
                <w:bCs/>
                <w:spacing w:val="-1"/>
                <w:sz w:val="28"/>
                <w:szCs w:val="28"/>
              </w:rPr>
              <w:t>ul</w:t>
            </w:r>
            <w:r>
              <w:rPr>
                <w:rFonts w:ascii="Times New Roman" w:hAnsi="Times New Roman" w:eastAsia="標楷體"/>
                <w:bCs/>
                <w:sz w:val="28"/>
                <w:szCs w:val="28"/>
              </w:rPr>
              <w:t>ar</w:t>
            </w:r>
            <w:r>
              <w:rPr>
                <w:rFonts w:ascii="Times New Roman" w:hAnsi="Times New Roman" w:eastAsia="標楷體"/>
                <w:bCs/>
                <w:spacing w:val="-9"/>
                <w:sz w:val="28"/>
                <w:szCs w:val="28"/>
              </w:rPr>
              <w:t xml:space="preserve"> </w:t>
            </w:r>
            <w:r>
              <w:rPr>
                <w:rFonts w:ascii="Times New Roman" w:hAnsi="Times New Roman" w:eastAsia="標楷體"/>
                <w:bCs/>
                <w:spacing w:val="-1"/>
                <w:sz w:val="28"/>
                <w:szCs w:val="28"/>
              </w:rPr>
              <w:t>d</w:t>
            </w:r>
            <w:r>
              <w:rPr>
                <w:rFonts w:ascii="Times New Roman" w:hAnsi="Times New Roman" w:eastAsia="標楷體"/>
                <w:bCs/>
                <w:spacing w:val="-3"/>
                <w:sz w:val="28"/>
                <w:szCs w:val="28"/>
              </w:rPr>
              <w:t>y</w:t>
            </w:r>
            <w:r>
              <w:rPr>
                <w:rFonts w:ascii="Times New Roman" w:hAnsi="Times New Roman" w:eastAsia="標楷體"/>
                <w:bCs/>
                <w:spacing w:val="-1"/>
                <w:sz w:val="28"/>
                <w:szCs w:val="28"/>
              </w:rPr>
              <w:t>s</w:t>
            </w:r>
            <w:r>
              <w:rPr>
                <w:rFonts w:ascii="Times New Roman" w:hAnsi="Times New Roman" w:eastAsia="標楷體"/>
                <w:bCs/>
                <w:sz w:val="28"/>
                <w:szCs w:val="28"/>
              </w:rPr>
              <w:t>t</w:t>
            </w:r>
            <w:r>
              <w:rPr>
                <w:rFonts w:ascii="Times New Roman" w:hAnsi="Times New Roman" w:eastAsia="標楷體"/>
                <w:bCs/>
                <w:spacing w:val="2"/>
                <w:sz w:val="28"/>
                <w:szCs w:val="28"/>
              </w:rPr>
              <w:t>r</w:t>
            </w:r>
            <w:r>
              <w:rPr>
                <w:rFonts w:ascii="Times New Roman" w:hAnsi="Times New Roman" w:eastAsia="標楷體"/>
                <w:bCs/>
                <w:sz w:val="28"/>
                <w:szCs w:val="28"/>
              </w:rPr>
              <w:t>o</w:t>
            </w:r>
            <w:r>
              <w:rPr>
                <w:rFonts w:ascii="Times New Roman" w:hAnsi="Times New Roman" w:eastAsia="標楷體"/>
                <w:bCs/>
                <w:spacing w:val="-1"/>
                <w:sz w:val="28"/>
                <w:szCs w:val="28"/>
              </w:rPr>
              <w:t>p</w:t>
            </w:r>
            <w:r>
              <w:rPr>
                <w:rFonts w:ascii="Times New Roman" w:hAnsi="Times New Roman" w:eastAsia="標楷體"/>
                <w:bCs/>
                <w:spacing w:val="4"/>
                <w:sz w:val="28"/>
                <w:szCs w:val="28"/>
              </w:rPr>
              <w:t>h</w:t>
            </w:r>
            <w:r>
              <w:rPr>
                <w:rFonts w:ascii="Times New Roman" w:hAnsi="Times New Roman" w:eastAsia="標楷體"/>
                <w:bCs/>
                <w:spacing w:val="2"/>
                <w:sz w:val="28"/>
                <w:szCs w:val="28"/>
              </w:rPr>
              <w:t>y,</w:t>
            </w:r>
            <w:r>
              <w:rPr>
                <w:rFonts w:ascii="Times New Roman" w:hAnsi="Times New Roman" w:eastAsia="標楷體"/>
                <w:sz w:val="28"/>
                <w:szCs w:val="28"/>
              </w:rPr>
              <w:t xml:space="preserve"> EDMD</w:t>
            </w:r>
            <w:r>
              <w:rPr>
                <w:rFonts w:ascii="Times New Roman" w:hAnsi="Times New Roman" w:eastAsia="標楷體"/>
                <w:bCs/>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B785FA0">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符合三項主要臨床表徵，或二項主要臨床表徵以上及二項次要輔助表徵以上，且再合併相關基因檢測有一項為陽性者。</w:t>
            </w:r>
          </w:p>
        </w:tc>
        <w:tc>
          <w:tcPr>
            <w:tcW w:w="801" w:type="pct"/>
            <w:tcBorders>
              <w:top w:val="single" w:color="000000" w:sz="4" w:space="0"/>
              <w:left w:val="single" w:color="000000" w:sz="4" w:space="0"/>
              <w:bottom w:val="single" w:color="000000" w:sz="4" w:space="0"/>
              <w:right w:val="single" w:color="000000" w:sz="4" w:space="0"/>
            </w:tcBorders>
          </w:tcPr>
          <w:p w14:paraId="43F934DF">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，需檢附下列相關基因檢測報告：</w:t>
            </w:r>
            <w:r>
              <w:rPr>
                <w:rFonts w:ascii="Times New Roman" w:hAnsi="Times New Roman" w:eastAsia="標楷體"/>
                <w:sz w:val="28"/>
                <w:szCs w:val="28"/>
              </w:rPr>
              <w:br w:type="textWrapping"/>
            </w:r>
            <w:r>
              <w:rPr>
                <w:rFonts w:hint="eastAsia" w:ascii="Times New Roman" w:hAnsi="Times New Roman" w:eastAsia="標楷體"/>
                <w:sz w:val="28"/>
                <w:szCs w:val="28"/>
              </w:rPr>
              <w:t>體顯性：</w:t>
            </w:r>
            <w:r>
              <w:rPr>
                <w:rFonts w:hint="eastAsia" w:ascii="Times New Roman" w:hAnsi="Times New Roman" w:eastAsia="標楷體"/>
                <w:i/>
                <w:iCs/>
                <w:sz w:val="28"/>
                <w:szCs w:val="28"/>
              </w:rPr>
              <w:t>LMNA, SYNE1, SYNE2, TMEM43</w:t>
            </w:r>
            <w:r>
              <w:rPr>
                <w:rFonts w:hint="eastAsia" w:ascii="Times New Roman" w:hAnsi="Times New Roman" w:eastAsia="標楷體"/>
                <w:sz w:val="28"/>
                <w:szCs w:val="28"/>
              </w:rPr>
              <w:t>。</w:t>
            </w:r>
            <w:r>
              <w:rPr>
                <w:rFonts w:ascii="Times New Roman" w:hAnsi="Times New Roman" w:eastAsia="標楷體"/>
                <w:sz w:val="28"/>
                <w:szCs w:val="28"/>
              </w:rPr>
              <w:br w:type="textWrapping"/>
            </w:r>
            <w:r>
              <w:rPr>
                <w:rFonts w:hint="eastAsia" w:ascii="Times New Roman" w:hAnsi="Times New Roman" w:eastAsia="標楷體"/>
                <w:sz w:val="28"/>
                <w:szCs w:val="28"/>
              </w:rPr>
              <w:t>體隱性：</w:t>
            </w:r>
            <w:r>
              <w:rPr>
                <w:rFonts w:hint="eastAsia" w:ascii="Times New Roman" w:hAnsi="Times New Roman" w:eastAsia="標楷體"/>
                <w:i/>
                <w:iCs/>
                <w:sz w:val="28"/>
                <w:szCs w:val="28"/>
              </w:rPr>
              <w:t>LMNA</w:t>
            </w:r>
            <w:r>
              <w:rPr>
                <w:rFonts w:hint="eastAsia" w:ascii="Times New Roman" w:hAnsi="Times New Roman" w:eastAsia="標楷體"/>
                <w:sz w:val="28"/>
                <w:szCs w:val="28"/>
              </w:rPr>
              <w:t>。</w:t>
            </w:r>
            <w:r>
              <w:rPr>
                <w:rFonts w:ascii="Times New Roman" w:hAnsi="Times New Roman" w:eastAsia="標楷體"/>
                <w:sz w:val="28"/>
                <w:szCs w:val="28"/>
              </w:rPr>
              <w:br w:type="textWrapping"/>
            </w:r>
            <w:r>
              <w:rPr>
                <w:rFonts w:hint="eastAsia" w:ascii="Times New Roman" w:hAnsi="Times New Roman" w:eastAsia="標楷體"/>
                <w:sz w:val="28"/>
                <w:szCs w:val="28"/>
              </w:rPr>
              <w:t>性聯隱性：</w:t>
            </w:r>
            <w:r>
              <w:rPr>
                <w:rFonts w:hint="eastAsia" w:ascii="Times New Roman" w:hAnsi="Times New Roman" w:eastAsia="標楷體"/>
                <w:i/>
                <w:iCs/>
                <w:sz w:val="28"/>
                <w:szCs w:val="28"/>
              </w:rPr>
              <w:t>EMD, FHL1</w:t>
            </w:r>
            <w:r>
              <w:rPr>
                <w:rFonts w:hint="eastAsia"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A6E2E3F">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需檢附具</w:t>
            </w:r>
            <w:r>
              <w:rPr>
                <w:rFonts w:ascii="Times New Roman" w:hAnsi="Times New Roman" w:eastAsia="標楷體"/>
                <w:sz w:val="28"/>
                <w:szCs w:val="28"/>
              </w:rPr>
              <w:t>相關</w:t>
            </w:r>
            <w:r>
              <w:rPr>
                <w:rFonts w:hint="eastAsia" w:ascii="Times New Roman" w:hAnsi="Times New Roman" w:eastAsia="標楷體"/>
                <w:sz w:val="28"/>
                <w:szCs w:val="28"/>
              </w:rPr>
              <w:t>臨床症狀及表徵的病歷紀錄、身體診査及</w:t>
            </w:r>
            <w:r>
              <w:rPr>
                <w:rFonts w:ascii="Times New Roman" w:hAnsi="Times New Roman" w:eastAsia="標楷體"/>
                <w:sz w:val="28"/>
                <w:szCs w:val="28"/>
              </w:rPr>
              <w:t>檢驗報告</w:t>
            </w:r>
            <w:r>
              <w:rPr>
                <w:rFonts w:hint="eastAsia" w:ascii="Times New Roman" w:hAnsi="Times New Roman" w:eastAsia="標楷體"/>
                <w:sz w:val="28"/>
                <w:szCs w:val="28"/>
              </w:rPr>
              <w:t>，與基因檢測報告。</w:t>
            </w:r>
          </w:p>
        </w:tc>
      </w:tr>
      <w:tr w14:paraId="0625ED73">
        <w:tblPrEx>
          <w:tblCellMar>
            <w:top w:w="0" w:type="dxa"/>
            <w:left w:w="10" w:type="dxa"/>
            <w:bottom w:w="0" w:type="dxa"/>
            <w:right w:w="10" w:type="dxa"/>
          </w:tblCellMar>
        </w:tblPrEx>
        <w:trPr>
          <w:trHeight w:val="260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AEF5A2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B62E689">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遺傳性血管性水腫</w:t>
            </w:r>
          </w:p>
          <w:p w14:paraId="0C32D11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(Hereditary </w:t>
            </w:r>
            <w:r>
              <w:rPr>
                <w:rFonts w:ascii="Times New Roman" w:hAnsi="Times New Roman" w:eastAsia="標楷體"/>
                <w:sz w:val="28"/>
                <w:szCs w:val="28"/>
              </w:rPr>
              <w:t>a</w:t>
            </w:r>
            <w:r>
              <w:rPr>
                <w:rFonts w:hint="eastAsia" w:ascii="Times New Roman" w:hAnsi="Times New Roman" w:eastAsia="標楷體"/>
                <w:sz w:val="28"/>
                <w:szCs w:val="28"/>
              </w:rPr>
              <w:t>ngioedema</w:t>
            </w:r>
            <w:r>
              <w:rPr>
                <w:rFonts w:ascii="Times New Roman" w:hAnsi="Times New Roman" w:eastAsia="標楷體"/>
                <w:sz w:val="28"/>
                <w:szCs w:val="28"/>
              </w:rPr>
              <w:t>, HAE</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48D19FB">
            <w:pPr>
              <w:adjustRightInd w:val="0"/>
              <w:snapToGrid w:val="0"/>
              <w:spacing w:line="320" w:lineRule="exact"/>
              <w:rPr>
                <w:rFonts w:ascii="Times New Roman" w:hAnsi="Times New Roman" w:eastAsia="標楷體"/>
                <w:sz w:val="28"/>
                <w:szCs w:val="28"/>
              </w:rPr>
            </w:pPr>
            <w:r>
              <w:rPr>
                <w:rFonts w:hint="eastAsia" w:ascii="Times New Roman" w:hAnsi="Times New Roman" w:eastAsia="標楷體"/>
                <w:sz w:val="28"/>
                <w:szCs w:val="28"/>
              </w:rPr>
              <w:t xml:space="preserve">符合世界過敏協會治療準則(WAO </w:t>
            </w:r>
            <w:r>
              <w:rPr>
                <w:rFonts w:ascii="Times New Roman" w:hAnsi="Times New Roman" w:eastAsia="標楷體"/>
                <w:sz w:val="28"/>
                <w:szCs w:val="28"/>
              </w:rPr>
              <w:t xml:space="preserve">Guideline for the </w:t>
            </w:r>
            <w:r>
              <w:rPr>
                <w:rFonts w:hint="eastAsia" w:ascii="Times New Roman" w:hAnsi="Times New Roman" w:eastAsia="標楷體"/>
                <w:sz w:val="28"/>
                <w:szCs w:val="28"/>
              </w:rPr>
              <w:t>M</w:t>
            </w:r>
            <w:r>
              <w:rPr>
                <w:rFonts w:ascii="Times New Roman" w:hAnsi="Times New Roman" w:eastAsia="標楷體"/>
                <w:sz w:val="28"/>
                <w:szCs w:val="28"/>
              </w:rPr>
              <w:t>anagement of Hereditary Angioedema</w:t>
            </w:r>
            <w:r>
              <w:rPr>
                <w:rFonts w:hint="eastAsia" w:ascii="Times New Roman" w:hAnsi="Times New Roman" w:eastAsia="標楷體"/>
                <w:sz w:val="28"/>
                <w:szCs w:val="28"/>
              </w:rPr>
              <w:t>)</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42A80DD">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SERPING1</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D9E471E">
            <w:pPr>
              <w:pStyle w:val="14"/>
              <w:widowControl/>
              <w:adjustRightInd w:val="0"/>
              <w:snapToGrid w:val="0"/>
              <w:spacing w:line="320" w:lineRule="exact"/>
              <w:ind w:left="0"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需檢附(3項均必要)</w:t>
            </w:r>
          </w:p>
          <w:p w14:paraId="6C1B49E0">
            <w:pPr>
              <w:pStyle w:val="14"/>
              <w:widowControl/>
              <w:numPr>
                <w:ilvl w:val="0"/>
                <w:numId w:val="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r>
              <w:rPr>
                <w:rFonts w:ascii="Times New Roman" w:hAnsi="Times New Roman" w:eastAsia="標楷體"/>
                <w:sz w:val="28"/>
                <w:szCs w:val="28"/>
              </w:rPr>
              <w:t>。</w:t>
            </w:r>
          </w:p>
          <w:p w14:paraId="6DEDF981">
            <w:pPr>
              <w:pStyle w:val="14"/>
              <w:widowControl/>
              <w:numPr>
                <w:ilvl w:val="0"/>
                <w:numId w:val="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血中C3、C4 檢測數值、C1-INH(第一補體酯脢抑制素)</w:t>
            </w:r>
            <w:r>
              <w:rPr>
                <w:rFonts w:ascii="Times New Roman" w:hAnsi="Times New Roman" w:eastAsia="標楷體"/>
                <w:sz w:val="28"/>
                <w:szCs w:val="28"/>
              </w:rPr>
              <w:t xml:space="preserve"> 。</w:t>
            </w:r>
          </w:p>
          <w:p w14:paraId="5D89AFB0">
            <w:pPr>
              <w:pStyle w:val="14"/>
              <w:widowControl/>
              <w:numPr>
                <w:ilvl w:val="0"/>
                <w:numId w:val="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i/>
                <w:color w:val="000000"/>
                <w:sz w:val="28"/>
                <w:szCs w:val="28"/>
              </w:rPr>
              <w:t xml:space="preserve">SERPING1 </w:t>
            </w:r>
            <w:r>
              <w:rPr>
                <w:rFonts w:hint="eastAsia" w:ascii="Times New Roman" w:hAnsi="Times New Roman" w:eastAsia="標楷體"/>
                <w:color w:val="000000"/>
                <w:sz w:val="28"/>
                <w:szCs w:val="28"/>
              </w:rPr>
              <w:t>基因突變分析</w:t>
            </w:r>
            <w:r>
              <w:rPr>
                <w:rFonts w:ascii="Times New Roman" w:hAnsi="Times New Roman" w:eastAsia="標楷體"/>
                <w:sz w:val="28"/>
                <w:szCs w:val="28"/>
              </w:rPr>
              <w:t>。</w:t>
            </w:r>
          </w:p>
        </w:tc>
      </w:tr>
      <w:tr w14:paraId="15EC4B3A">
        <w:tblPrEx>
          <w:tblCellMar>
            <w:top w:w="0" w:type="dxa"/>
            <w:left w:w="10" w:type="dxa"/>
            <w:bottom w:w="0" w:type="dxa"/>
            <w:right w:w="10" w:type="dxa"/>
          </w:tblCellMar>
        </w:tblPrEx>
        <w:trPr>
          <w:trHeight w:val="294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813079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38726A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Dravet症候群 </w:t>
            </w:r>
          </w:p>
          <w:p w14:paraId="0D16987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(Dravet </w:t>
            </w:r>
            <w:r>
              <w:rPr>
                <w:rFonts w:ascii="Times New Roman" w:hAnsi="Times New Roman" w:eastAsia="標楷體"/>
                <w:sz w:val="28"/>
                <w:szCs w:val="28"/>
              </w:rPr>
              <w:t>s</w:t>
            </w:r>
            <w:r>
              <w:rPr>
                <w:rFonts w:hint="eastAsia" w:ascii="Times New Roman" w:hAnsi="Times New Roman" w:eastAsia="標楷體"/>
                <w:sz w:val="28"/>
                <w:szCs w:val="28"/>
              </w:rPr>
              <w:t>yndrome, DS)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E34BF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符合6項一歲前必要臨床表徵、6項一歲後(含)必要臨床表徵、排除5項異常腦波、符合1項腦部核磁共振照影報告且SCN1A基因變異陽性。</w:t>
            </w:r>
          </w:p>
        </w:tc>
        <w:tc>
          <w:tcPr>
            <w:tcW w:w="801" w:type="pct"/>
            <w:tcBorders>
              <w:top w:val="single" w:color="000000" w:sz="4" w:space="0"/>
              <w:left w:val="single" w:color="000000" w:sz="4" w:space="0"/>
              <w:bottom w:val="single" w:color="000000" w:sz="4" w:space="0"/>
              <w:right w:val="single" w:color="000000" w:sz="4" w:space="0"/>
            </w:tcBorders>
          </w:tcPr>
          <w:p w14:paraId="48E63AEA">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SCN1A</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36F0A56">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需檢附病歷資料、基因檢測、腦波檢查報告、腦部影像學檢查</w:t>
            </w:r>
            <w:r>
              <w:rPr>
                <w:rFonts w:ascii="Times New Roman" w:hAnsi="Times New Roman" w:eastAsia="標楷體"/>
                <w:sz w:val="28"/>
                <w:szCs w:val="28"/>
              </w:rPr>
              <w:t>。</w:t>
            </w:r>
          </w:p>
        </w:tc>
      </w:tr>
      <w:tr w14:paraId="4BF17481">
        <w:tblPrEx>
          <w:tblCellMar>
            <w:top w:w="0" w:type="dxa"/>
            <w:left w:w="10" w:type="dxa"/>
            <w:bottom w:w="0" w:type="dxa"/>
            <w:right w:w="10" w:type="dxa"/>
          </w:tblCellMar>
        </w:tblPrEx>
        <w:trPr>
          <w:trHeight w:val="2891"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50EBC9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165185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腦白質消失症</w:t>
            </w:r>
          </w:p>
          <w:p w14:paraId="5E637947">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(Vanishing white matter disease)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930710F">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CSF常規檢驗及血液乳酸分析結果應為正常，腦部核磁共振影像報告或重點影像足以佐證，並基因報告顯示有異型或同型合子的基因變化。</w:t>
            </w:r>
          </w:p>
        </w:tc>
        <w:tc>
          <w:tcPr>
            <w:tcW w:w="801" w:type="pct"/>
            <w:tcBorders>
              <w:top w:val="single" w:color="000000" w:sz="4" w:space="0"/>
              <w:left w:val="single" w:color="000000" w:sz="4" w:space="0"/>
              <w:bottom w:val="single" w:color="000000" w:sz="4" w:space="0"/>
              <w:right w:val="single" w:color="000000" w:sz="4" w:space="0"/>
            </w:tcBorders>
          </w:tcPr>
          <w:p w14:paraId="426E253D">
            <w:pPr>
              <w:adjustRightInd w:val="0"/>
              <w:snapToGrid w:val="0"/>
              <w:spacing w:line="320" w:lineRule="exact"/>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，需檢附下列相關基因檢測報告：</w:t>
            </w:r>
            <w:r>
              <w:rPr>
                <w:rFonts w:hint="eastAsia" w:ascii="Times New Roman" w:hAnsi="Times New Roman" w:eastAsia="標楷體"/>
                <w:i/>
                <w:iCs/>
                <w:sz w:val="28"/>
                <w:szCs w:val="28"/>
              </w:rPr>
              <w:t>EIF2B1、EIF2B2、EIF2B3、EIF2B4、EIF2B5</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697785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需檢附臨床資料及實驗室數據(含CSF常規檢驗及血液乳酸)、腦部核磁共振影像報告或重點影像、基因檢測報告</w:t>
            </w:r>
            <w:r>
              <w:rPr>
                <w:rFonts w:ascii="Times New Roman" w:hAnsi="Times New Roman" w:eastAsia="標楷體"/>
                <w:sz w:val="28"/>
                <w:szCs w:val="28"/>
              </w:rPr>
              <w:t>。</w:t>
            </w:r>
          </w:p>
        </w:tc>
      </w:tr>
      <w:tr w14:paraId="654BC827">
        <w:tblPrEx>
          <w:tblCellMar>
            <w:top w:w="0" w:type="dxa"/>
            <w:left w:w="10" w:type="dxa"/>
            <w:bottom w:w="0" w:type="dxa"/>
            <w:right w:w="10" w:type="dxa"/>
          </w:tblCellMar>
        </w:tblPrEx>
        <w:trPr>
          <w:trHeight w:val="311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90F683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F1D8FF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GNE遠端肌病變</w:t>
            </w:r>
          </w:p>
          <w:p w14:paraId="1C2816D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GNE myopathy</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900634F">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符合「四項主要表徵」或「三項主要表徵+兩項次要輔助表徵」或「兩項主要表徵+三項次要輔助表徵」，</w:t>
            </w:r>
            <w:r>
              <w:rPr>
                <w:rFonts w:hint="eastAsia" w:ascii="Times New Roman" w:hAnsi="Times New Roman" w:eastAsia="標楷體"/>
                <w:i/>
                <w:iCs/>
                <w:sz w:val="28"/>
                <w:szCs w:val="28"/>
              </w:rPr>
              <w:t>GNE</w:t>
            </w:r>
            <w:r>
              <w:rPr>
                <w:rFonts w:hint="eastAsia" w:ascii="Times New Roman" w:hAnsi="Times New Roman" w:eastAsia="標楷體"/>
                <w:sz w:val="28"/>
                <w:szCs w:val="28"/>
              </w:rPr>
              <w:t>基因檢測為同型合子或複雜異型合子突變。</w:t>
            </w:r>
          </w:p>
        </w:tc>
        <w:tc>
          <w:tcPr>
            <w:tcW w:w="801" w:type="pct"/>
            <w:tcBorders>
              <w:top w:val="single" w:color="000000" w:sz="4" w:space="0"/>
              <w:left w:val="single" w:color="000000" w:sz="4" w:space="0"/>
              <w:bottom w:val="single" w:color="000000" w:sz="4" w:space="0"/>
              <w:right w:val="single" w:color="000000" w:sz="4" w:space="0"/>
            </w:tcBorders>
          </w:tcPr>
          <w:p w14:paraId="2EEEB28E">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 xml:space="preserve">GNE </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644B7CC">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需檢附臨床症狀及徵兆的病歷資料、基因檢測報告、身體診察及檢驗報告(如：影像報告、血液生化檢驗報告、神經電生理檢查資料或肌肉切片檢查報告等)</w:t>
            </w:r>
            <w:r>
              <w:rPr>
                <w:rFonts w:ascii="Times New Roman" w:hAnsi="Times New Roman" w:eastAsia="標楷體"/>
                <w:sz w:val="28"/>
                <w:szCs w:val="28"/>
              </w:rPr>
              <w:t>。</w:t>
            </w:r>
          </w:p>
        </w:tc>
      </w:tr>
      <w:tr w14:paraId="7B10CD25">
        <w:tblPrEx>
          <w:tblCellMar>
            <w:top w:w="0" w:type="dxa"/>
            <w:left w:w="10" w:type="dxa"/>
            <w:bottom w:w="0" w:type="dxa"/>
            <w:right w:w="10" w:type="dxa"/>
          </w:tblCellMar>
        </w:tblPrEx>
        <w:trPr>
          <w:trHeight w:val="243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74A5F1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B2F479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史托摩根症候群</w:t>
            </w:r>
          </w:p>
          <w:p w14:paraId="0FDAD30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Stormorken syndrome</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8DDDB80">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符合「四項主要表徵」或「三項主要表徵+兩項次要輔助表徵」，</w:t>
            </w:r>
            <w:r>
              <w:rPr>
                <w:rFonts w:ascii="Times New Roman" w:hAnsi="Times New Roman" w:eastAsia="標楷體"/>
                <w:i/>
                <w:iCs/>
                <w:sz w:val="28"/>
                <w:szCs w:val="28"/>
              </w:rPr>
              <w:t>STIM1</w:t>
            </w:r>
            <w:r>
              <w:rPr>
                <w:rFonts w:hint="eastAsia" w:ascii="Times New Roman" w:hAnsi="Times New Roman" w:eastAsia="標楷體"/>
                <w:sz w:val="28"/>
                <w:szCs w:val="28"/>
              </w:rPr>
              <w:t>基因檢測為異型合子突變。</w:t>
            </w:r>
          </w:p>
        </w:tc>
        <w:tc>
          <w:tcPr>
            <w:tcW w:w="801" w:type="pct"/>
            <w:tcBorders>
              <w:top w:val="single" w:color="000000" w:sz="4" w:space="0"/>
              <w:left w:val="single" w:color="000000" w:sz="4" w:space="0"/>
              <w:bottom w:val="single" w:color="000000" w:sz="4" w:space="0"/>
              <w:right w:val="single" w:color="000000" w:sz="4" w:space="0"/>
            </w:tcBorders>
          </w:tcPr>
          <w:p w14:paraId="523AAD4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STIM1</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016F063">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需檢附臨床症狀及徵兆的病歷資料、基因檢測報告、身體診察及檢驗報告(如：影像報告、血液生化檢驗報告或肌肉切片檢查報告等)</w:t>
            </w:r>
            <w:r>
              <w:rPr>
                <w:rFonts w:ascii="Times New Roman" w:hAnsi="Times New Roman" w:eastAsia="標楷體"/>
                <w:sz w:val="28"/>
                <w:szCs w:val="28"/>
              </w:rPr>
              <w:t>。</w:t>
            </w:r>
          </w:p>
        </w:tc>
      </w:tr>
      <w:tr w14:paraId="23C83446">
        <w:tblPrEx>
          <w:tblCellMar>
            <w:top w:w="0" w:type="dxa"/>
            <w:left w:w="10" w:type="dxa"/>
            <w:bottom w:w="0" w:type="dxa"/>
            <w:right w:w="10" w:type="dxa"/>
          </w:tblCellMar>
        </w:tblPrEx>
        <w:trPr>
          <w:trHeight w:val="328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E9AF3B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9845CE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克斯提洛氏彈性</w:t>
            </w:r>
            <w:r>
              <w:rPr>
                <w:rFonts w:ascii="Times New Roman" w:hAnsi="Times New Roman" w:eastAsia="標楷體"/>
                <w:sz w:val="28"/>
                <w:szCs w:val="28"/>
              </w:rPr>
              <w:br w:type="textWrapping"/>
            </w:r>
            <w:r>
              <w:rPr>
                <w:rFonts w:hint="eastAsia" w:ascii="Times New Roman" w:hAnsi="Times New Roman" w:eastAsia="標楷體"/>
                <w:sz w:val="28"/>
                <w:szCs w:val="28"/>
              </w:rPr>
              <w:t>蛋白缺陷症</w:t>
            </w:r>
            <w:r>
              <w:rPr>
                <w:rFonts w:ascii="Times New Roman" w:hAnsi="Times New Roman" w:eastAsia="標楷體"/>
                <w:sz w:val="28"/>
                <w:szCs w:val="28"/>
              </w:rPr>
              <w:br w:type="textWrapping"/>
            </w:r>
            <w:r>
              <w:rPr>
                <w:rFonts w:hint="eastAsia" w:ascii="Times New Roman" w:hAnsi="Times New Roman" w:eastAsia="標楷體"/>
                <w:sz w:val="28"/>
                <w:szCs w:val="28"/>
              </w:rPr>
              <w:t>(</w:t>
            </w:r>
            <w:r>
              <w:rPr>
                <w:rFonts w:ascii="Times New Roman" w:hAnsi="Times New Roman" w:eastAsia="標楷體"/>
                <w:sz w:val="28"/>
                <w:szCs w:val="28"/>
              </w:rPr>
              <w:t>Costello syndrome</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5ED6801">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病史及臨床表徵符合，排除可造成類似表現次發性原因，影像學檢查結果支持及基因檢測確認</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FBBD6E4">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HRAS</w:t>
            </w:r>
            <w:r>
              <w:rPr>
                <w:rFonts w:ascii="Times New Roman" w:hAnsi="Times New Roman" w:eastAsia="標楷體"/>
                <w:sz w:val="28"/>
                <w:szCs w:val="28"/>
              </w:rPr>
              <w:t xml:space="preserve"> </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42FAB37">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需檢附臨床症狀及徵兆之病歷紀錄(含過去病史、出生史及家族史等)、異常表現超音波(如：心臟超音波)、基因檢測之正式報告或影本、排除可造成類似表現次發性原因(如：周產期感染、窒息、缺氧性腦病變)</w:t>
            </w:r>
            <w:r>
              <w:rPr>
                <w:rFonts w:ascii="Times New Roman" w:hAnsi="Times New Roman" w:eastAsia="標楷體"/>
                <w:sz w:val="28"/>
                <w:szCs w:val="28"/>
              </w:rPr>
              <w:t>。</w:t>
            </w:r>
          </w:p>
        </w:tc>
      </w:tr>
      <w:tr w14:paraId="25328353">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28A2C5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56F948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脊髓小腦退化性動作協調障礙</w:t>
            </w:r>
          </w:p>
          <w:p w14:paraId="19D4917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(Spinocerebellar ataxia</w:t>
            </w:r>
            <w:r>
              <w:rPr>
                <w:rFonts w:ascii="Times New Roman" w:hAnsi="Times New Roman" w:eastAsia="標楷體"/>
                <w:sz w:val="28"/>
                <w:szCs w:val="28"/>
              </w:rPr>
              <w:t>, SCA</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ADDB6D0">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符合下列任一：</w:t>
            </w:r>
          </w:p>
          <w:p w14:paraId="76BAF39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A</w:t>
            </w:r>
            <w:r>
              <w:rPr>
                <w:rFonts w:hint="eastAsia" w:ascii="Times New Roman" w:hAnsi="Times New Roman" w:eastAsia="標楷體"/>
                <w:sz w:val="28"/>
                <w:szCs w:val="28"/>
              </w:rPr>
              <w:t>)明確之家族病史及基因檢測確認之臨床型及基因型吻合個案；(B)無明確之家族病史，但有明確之分子診斷，經醫師檢視病患並提供詳細之個案病歷資料，作為臨床型及基因型審查之依據；(C)明確之顯性遺傳家族病史，但尚無發現明確分子診斷異常，經醫師檢視家族內其他病患並提供詳細之病歷記錄或個案病歷資料。</w:t>
            </w:r>
          </w:p>
        </w:tc>
        <w:tc>
          <w:tcPr>
            <w:tcW w:w="801" w:type="pct"/>
            <w:tcBorders>
              <w:top w:val="single" w:color="000000" w:sz="4" w:space="0"/>
              <w:left w:val="single" w:color="000000" w:sz="4" w:space="0"/>
              <w:bottom w:val="single" w:color="000000" w:sz="4" w:space="0"/>
              <w:right w:val="single" w:color="000000" w:sz="4" w:space="0"/>
            </w:tcBorders>
          </w:tcPr>
          <w:p w14:paraId="7D200A99">
            <w:pPr>
              <w:adjustRightInd w:val="0"/>
              <w:snapToGrid w:val="0"/>
              <w:spacing w:line="320" w:lineRule="exact"/>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，需檢附基因檢測報告(相關致病基因請參閱OMIM</w:t>
            </w:r>
            <w:r>
              <w:rPr>
                <w:rFonts w:ascii="Times New Roman" w:hAnsi="Times New Roman" w:eastAsia="標楷體"/>
                <w:sz w:val="28"/>
                <w:szCs w:val="28"/>
              </w:rPr>
              <w:t>®</w:t>
            </w:r>
            <w:r>
              <w:rPr>
                <w:rFonts w:hint="eastAsia" w:ascii="Times New Roman" w:hAnsi="Times New Roman" w:eastAsia="標楷體"/>
                <w:sz w:val="28"/>
                <w:szCs w:val="28"/>
              </w:rPr>
              <w:t>資料庫，如：</w:t>
            </w:r>
            <w:r>
              <w:rPr>
                <w:rFonts w:hint="eastAsia" w:ascii="Times New Roman" w:hAnsi="Times New Roman" w:eastAsia="標楷體"/>
                <w:i/>
                <w:sz w:val="28"/>
                <w:szCs w:val="28"/>
              </w:rPr>
              <w:t>ATXN3</w:t>
            </w:r>
            <w:r>
              <w:rPr>
                <w:rFonts w:hint="eastAsia" w:ascii="Times New Roman" w:hAnsi="Times New Roman" w:eastAsia="標楷體"/>
                <w:sz w:val="28"/>
                <w:szCs w:val="28"/>
              </w:rPr>
              <w:t>之CAG repeat</w:t>
            </w:r>
            <w:r>
              <w:rPr>
                <w:rFonts w:ascii="Times New Roman" w:hAnsi="Times New Roman" w:eastAsia="標楷體"/>
                <w:sz w:val="28"/>
                <w:szCs w:val="28"/>
              </w:rPr>
              <w:t>…</w:t>
            </w:r>
            <w:r>
              <w:rPr>
                <w:rFonts w:hint="eastAsia" w:ascii="Times New Roman" w:hAnsi="Times New Roman" w:eastAsia="標楷體"/>
                <w:sz w:val="28"/>
                <w:szCs w:val="28"/>
              </w:rPr>
              <w:t>等)</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1437D80">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需檢附病歷資料(包括臨床症狀及徵兆之病歷資料並有多次看診紀錄及詳細家族史)、基因檢測報告及腦部影像檢查報告</w:t>
            </w:r>
            <w:r>
              <w:rPr>
                <w:rFonts w:ascii="Times New Roman" w:hAnsi="Times New Roman" w:eastAsia="標楷體"/>
                <w:sz w:val="28"/>
                <w:szCs w:val="28"/>
              </w:rPr>
              <w:t>。</w:t>
            </w:r>
          </w:p>
        </w:tc>
      </w:tr>
      <w:tr w14:paraId="604027FC">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DE4C93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D090AF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陣發性夜間</w:t>
            </w:r>
          </w:p>
          <w:p w14:paraId="0EF59AF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血紅素尿症</w:t>
            </w:r>
            <w:r>
              <w:rPr>
                <w:rFonts w:ascii="Times New Roman" w:hAnsi="Times New Roman" w:eastAsia="標楷體"/>
                <w:sz w:val="28"/>
                <w:szCs w:val="28"/>
              </w:rPr>
              <w:br w:type="textWrapping"/>
            </w:r>
            <w:r>
              <w:rPr>
                <w:rFonts w:hint="eastAsia" w:ascii="Times New Roman" w:hAnsi="Times New Roman" w:eastAsia="標楷體"/>
                <w:sz w:val="28"/>
                <w:szCs w:val="28"/>
              </w:rPr>
              <w:t>(</w:t>
            </w:r>
            <w:r>
              <w:rPr>
                <w:rFonts w:ascii="Times New Roman" w:hAnsi="Times New Roman" w:eastAsia="標楷體"/>
                <w:sz w:val="28"/>
                <w:szCs w:val="28"/>
              </w:rPr>
              <w:t>Paroxysmal nocturnal hemoglobinuria, PNH</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46C048">
            <w:pPr>
              <w:adjustRightInd w:val="0"/>
              <w:snapToGrid w:val="0"/>
              <w:spacing w:line="320" w:lineRule="exact"/>
              <w:jc w:val="both"/>
              <w:rPr>
                <w:rFonts w:ascii="Times New Roman" w:hAnsi="Times New Roman" w:eastAsia="標楷體"/>
                <w:sz w:val="28"/>
                <w:szCs w:val="28"/>
              </w:rPr>
            </w:pPr>
            <w:r>
              <w:rPr>
                <w:rFonts w:ascii="Times New Roman" w:hAnsi="Times New Roman" w:eastAsia="標楷體"/>
                <w:sz w:val="28"/>
                <w:szCs w:val="28"/>
              </w:rPr>
              <w:t>5</w:t>
            </w:r>
            <w:r>
              <w:rPr>
                <w:rFonts w:hint="eastAsia" w:ascii="Times New Roman" w:hAnsi="Times New Roman" w:eastAsia="標楷體"/>
                <w:sz w:val="28"/>
                <w:szCs w:val="28"/>
              </w:rPr>
              <w:t>項徵兆至少符合1項並須排除PNH以外之次發性原因、符合4項臨床表現，且周邊血液流式細胞儀檢驗，granulocyte及monocyte之PNH clone size均必須≧10%。</w:t>
            </w:r>
          </w:p>
        </w:tc>
        <w:tc>
          <w:tcPr>
            <w:tcW w:w="801" w:type="pct"/>
            <w:tcBorders>
              <w:top w:val="single" w:color="000000" w:sz="4" w:space="0"/>
              <w:left w:val="single" w:color="000000" w:sz="4" w:space="0"/>
              <w:bottom w:val="single" w:color="000000" w:sz="4" w:space="0"/>
              <w:right w:val="single" w:color="000000" w:sz="4" w:space="0"/>
            </w:tcBorders>
          </w:tcPr>
          <w:p w14:paraId="584B8018">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選擇性</w:t>
            </w:r>
            <w:r>
              <w:rPr>
                <w:rFonts w:hint="eastAsia" w:ascii="Times New Roman" w:hAnsi="Times New Roman" w:eastAsia="標楷體"/>
                <w:sz w:val="28"/>
                <w:szCs w:val="28"/>
              </w:rPr>
              <w:t>，檢附</w:t>
            </w:r>
            <w:r>
              <w:rPr>
                <w:rFonts w:ascii="Times New Roman" w:hAnsi="Times New Roman" w:eastAsia="標楷體"/>
                <w:i/>
                <w:iCs/>
                <w:sz w:val="28"/>
                <w:szCs w:val="28"/>
              </w:rPr>
              <w:t>PIG-A</w:t>
            </w:r>
            <w:r>
              <w:rPr>
                <w:rFonts w:hint="eastAsia" w:ascii="Times New Roman" w:hAnsi="Times New Roman" w:eastAsia="標楷體"/>
                <w:sz w:val="28"/>
                <w:szCs w:val="28"/>
              </w:rPr>
              <w:t>或其他相關基因檢測報告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37DEEF6">
            <w:pPr>
              <w:widowControl/>
              <w:adjustRightInd w:val="0"/>
              <w:snapToGrid w:val="0"/>
              <w:spacing w:line="30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需檢附(第1至7為必要)：</w:t>
            </w:r>
          </w:p>
          <w:p w14:paraId="71452FD3">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臨床症狀及徵兆之病歷紀錄，需包含病史、用藥史等</w:t>
            </w:r>
          </w:p>
          <w:p w14:paraId="0648B767">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骨髓切片病理報告與抹片報告</w:t>
            </w:r>
          </w:p>
          <w:p w14:paraId="2EB0A6BD">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骨髓細胞之染色體報告</w:t>
            </w:r>
          </w:p>
          <w:p w14:paraId="49F95C9A">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詳細之血液數據、生化數據、Coombs’ tests足以證明非免疫性之血管內溶血</w:t>
            </w:r>
          </w:p>
          <w:p w14:paraId="7E6265C5">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Vitamin B12、folic acid、iron profile之數據</w:t>
            </w:r>
          </w:p>
          <w:p w14:paraId="1FE73100">
            <w:pPr>
              <w:pStyle w:val="14"/>
              <w:widowControl/>
              <w:numPr>
                <w:ilvl w:val="0"/>
                <w:numId w:val="6"/>
              </w:numPr>
              <w:adjustRightInd w:val="0"/>
              <w:snapToGrid w:val="0"/>
              <w:spacing w:line="300" w:lineRule="exact"/>
              <w:ind w:leftChars="0"/>
              <w:rPr>
                <w:rFonts w:ascii="Times New Roman" w:hAnsi="Times New Roman" w:eastAsia="標楷體"/>
                <w:sz w:val="28"/>
                <w:szCs w:val="28"/>
              </w:rPr>
            </w:pPr>
            <w:r>
              <w:rPr>
                <w:rFonts w:hint="eastAsia" w:ascii="Times New Roman" w:hAnsi="Times New Roman" w:eastAsia="標楷體"/>
                <w:sz w:val="28"/>
                <w:szCs w:val="28"/>
              </w:rPr>
              <w:t>周邊血液流式細胞儀檢驗，證明RBC、granulocyte與monocyte之PNH clone size (請附圖)</w:t>
            </w:r>
            <w:r>
              <w:rPr>
                <w:rFonts w:ascii="Times New Roman" w:hAnsi="Times New Roman" w:eastAsia="標楷體"/>
                <w:sz w:val="28"/>
                <w:szCs w:val="28"/>
              </w:rPr>
              <w:t xml:space="preserve"> </w:t>
            </w:r>
          </w:p>
          <w:p w14:paraId="034F9F5A">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半年內之輸血紀錄</w:t>
            </w:r>
          </w:p>
          <w:p w14:paraId="20A0E4B6">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有關血栓之影像及血液檢驗</w:t>
            </w:r>
          </w:p>
          <w:p w14:paraId="5772E99E">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心臟超音波或是心導管檢查</w:t>
            </w:r>
          </w:p>
          <w:p w14:paraId="6E793886">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有關腎功能不全之血液檢驗及影像或腎臟切片之病理報告</w:t>
            </w:r>
          </w:p>
          <w:p w14:paraId="3B7A5CA0">
            <w:pPr>
              <w:pStyle w:val="14"/>
              <w:widowControl/>
              <w:numPr>
                <w:ilvl w:val="0"/>
                <w:numId w:val="6"/>
              </w:numPr>
              <w:adjustRightInd w:val="0"/>
              <w:snapToGrid w:val="0"/>
              <w:spacing w:line="30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w:t>
            </w:r>
          </w:p>
        </w:tc>
      </w:tr>
      <w:tr w14:paraId="7B74C5F0">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84AE1C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BC4C3C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同合子家族性高膽固醇血症</w:t>
            </w:r>
            <w:r>
              <w:rPr>
                <w:rFonts w:ascii="Times New Roman" w:hAnsi="Times New Roman" w:eastAsia="標楷體"/>
                <w:sz w:val="28"/>
                <w:szCs w:val="28"/>
              </w:rPr>
              <w:br w:type="textWrapping"/>
            </w:r>
            <w:r>
              <w:rPr>
                <w:rFonts w:hint="eastAsia" w:ascii="Times New Roman" w:hAnsi="Times New Roman" w:eastAsia="標楷體"/>
                <w:sz w:val="28"/>
                <w:szCs w:val="28"/>
              </w:rPr>
              <w:t>(</w:t>
            </w:r>
            <w:r>
              <w:rPr>
                <w:rFonts w:ascii="Times New Roman" w:hAnsi="Times New Roman" w:eastAsia="標楷體"/>
                <w:sz w:val="28"/>
                <w:szCs w:val="28"/>
              </w:rPr>
              <w:t>Homozygous familial hypercholesterolemia, HoFH</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698328B">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4項臨床診斷標準中至少須符合3項。基因檢測亦為必要條件之一，惟考量可能有四分之一機率檢測不出來，並不以基因檢測結果為唯一判斷依據。</w:t>
            </w:r>
          </w:p>
        </w:tc>
        <w:tc>
          <w:tcPr>
            <w:tcW w:w="801" w:type="pct"/>
            <w:tcBorders>
              <w:top w:val="single" w:color="000000" w:sz="4" w:space="0"/>
              <w:left w:val="single" w:color="000000" w:sz="4" w:space="0"/>
              <w:bottom w:val="single" w:color="000000" w:sz="4" w:space="0"/>
              <w:right w:val="single" w:color="000000" w:sz="4" w:space="0"/>
            </w:tcBorders>
          </w:tcPr>
          <w:p w14:paraId="67D7B245">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LDL-R、ApoB-100、PCSK9</w:t>
            </w:r>
            <w:r>
              <w:rPr>
                <w:rFonts w:hint="eastAsia" w:ascii="Times New Roman" w:hAnsi="Times New Roman" w:eastAsia="標楷體"/>
                <w:sz w:val="28"/>
                <w:szCs w:val="28"/>
              </w:rPr>
              <w:t>或其他基因檢測報告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8DEEE9C">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需檢附臨床症狀及徵兆之病歷紀錄(須包含病史、個人史、家族史及用藥史等)、膽固醇／三甘油脂／LDL-C等檢驗報告、心臟相關檢驗及其他檢驗報告等</w:t>
            </w:r>
            <w:r>
              <w:rPr>
                <w:rFonts w:ascii="Times New Roman" w:hAnsi="Times New Roman" w:eastAsia="標楷體"/>
                <w:sz w:val="28"/>
                <w:szCs w:val="28"/>
              </w:rPr>
              <w:t>。</w:t>
            </w:r>
          </w:p>
        </w:tc>
      </w:tr>
      <w:tr w14:paraId="14FE453D">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9DA7E4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w:t>
            </w:r>
            <w:r>
              <w:rPr>
                <w:rFonts w:ascii="Times New Roman" w:hAnsi="Times New Roman" w:eastAsia="標楷體"/>
                <w:sz w:val="28"/>
                <w:szCs w:val="28"/>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E2B277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Ayme-Gripp</w:t>
            </w:r>
          </w:p>
          <w:p w14:paraId="3895A02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症候群</w:t>
            </w:r>
            <w:r>
              <w:rPr>
                <w:rFonts w:ascii="Times New Roman" w:hAnsi="Times New Roman" w:eastAsia="標楷體"/>
                <w:sz w:val="28"/>
                <w:szCs w:val="28"/>
              </w:rPr>
              <w:br w:type="textWrapping"/>
            </w:r>
            <w:r>
              <w:rPr>
                <w:rFonts w:hint="eastAsia" w:ascii="Times New Roman" w:hAnsi="Times New Roman" w:eastAsia="標楷體"/>
                <w:sz w:val="28"/>
                <w:szCs w:val="28"/>
              </w:rPr>
              <w:t>(Ayme-Gripp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F2DBA2E">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至少符合3種必要核心特徵及</w:t>
            </w:r>
            <w:r>
              <w:rPr>
                <w:rFonts w:hint="eastAsia" w:ascii="Times New Roman" w:hAnsi="Times New Roman" w:eastAsia="標楷體"/>
                <w:i/>
                <w:iCs/>
                <w:sz w:val="28"/>
                <w:szCs w:val="28"/>
              </w:rPr>
              <w:t>MAF</w:t>
            </w:r>
            <w:r>
              <w:rPr>
                <w:rFonts w:hint="eastAsia" w:ascii="Times New Roman" w:hAnsi="Times New Roman" w:eastAsia="標楷體"/>
                <w:sz w:val="28"/>
                <w:szCs w:val="28"/>
              </w:rPr>
              <w:t>基因檢測異常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84C5185">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MAF</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2E06137">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需檢附臨床資料 (包括病歷記載及相關檢查等)及基因檢測報告</w:t>
            </w:r>
            <w:r>
              <w:rPr>
                <w:rFonts w:ascii="Times New Roman" w:hAnsi="Times New Roman" w:eastAsia="標楷體"/>
                <w:sz w:val="28"/>
                <w:szCs w:val="28"/>
              </w:rPr>
              <w:t>。</w:t>
            </w:r>
          </w:p>
        </w:tc>
      </w:tr>
      <w:tr w14:paraId="217CD974">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9B2E8D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1</w:t>
            </w:r>
            <w:r>
              <w:rPr>
                <w:rFonts w:ascii="Times New Roman" w:hAnsi="Times New Roman" w:eastAsia="標楷體"/>
                <w:sz w:val="28"/>
                <w:szCs w:val="28"/>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F9C267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Coffin-Lowry</w:t>
            </w:r>
          </w:p>
          <w:p w14:paraId="047DC99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症候群</w:t>
            </w:r>
          </w:p>
          <w:p w14:paraId="68ABEF43">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w:t>
            </w:r>
            <w:r>
              <w:rPr>
                <w:rFonts w:hint="eastAsia" w:ascii="Times New Roman" w:hAnsi="Times New Roman" w:eastAsia="標楷體"/>
                <w:sz w:val="28"/>
                <w:szCs w:val="28"/>
              </w:rPr>
              <w:t xml:space="preserve">Coffin-Lowry </w:t>
            </w:r>
            <w:r>
              <w:rPr>
                <w:rFonts w:ascii="Times New Roman" w:hAnsi="Times New Roman" w:eastAsia="標楷體"/>
                <w:sz w:val="28"/>
                <w:szCs w:val="28"/>
              </w:rPr>
              <w:t>s</w:t>
            </w:r>
            <w:r>
              <w:rPr>
                <w:rFonts w:hint="eastAsia" w:ascii="Times New Roman" w:hAnsi="Times New Roman" w:eastAsia="標楷體"/>
                <w:sz w:val="28"/>
                <w:szCs w:val="28"/>
              </w:rPr>
              <w:t>yndrome, CLS</w:t>
            </w:r>
            <w:r>
              <w:rPr>
                <w:rFonts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706C0C6">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8項臨床表徵中1至3為必要、4~8至少符合2項及</w:t>
            </w:r>
            <w:r>
              <w:rPr>
                <w:rFonts w:hint="eastAsia" w:ascii="Times New Roman" w:hAnsi="Times New Roman" w:eastAsia="標楷體"/>
                <w:i/>
                <w:iCs/>
                <w:sz w:val="28"/>
                <w:szCs w:val="28"/>
              </w:rPr>
              <w:t>RPS6KA3</w:t>
            </w:r>
            <w:r>
              <w:rPr>
                <w:rFonts w:hint="eastAsia" w:ascii="Times New Roman" w:hAnsi="Times New Roman" w:eastAsia="標楷體"/>
                <w:sz w:val="28"/>
                <w:szCs w:val="28"/>
              </w:rPr>
              <w:t>基因檢測異常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491E20D4">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RPS6KA3</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3DE47FF">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需檢附病歷資料(包括臨床症狀及徵兆之病歷資料並有多次看診紀錄及詳細家族史)、基因檢測報告及腦部影像檢查報告</w:t>
            </w:r>
          </w:p>
        </w:tc>
      </w:tr>
      <w:tr w14:paraId="4FAF7F8A">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DAF0C7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F7EC69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遺傳性痙攣性</w:t>
            </w:r>
          </w:p>
          <w:p w14:paraId="4D965F8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下身麻痺</w:t>
            </w:r>
          </w:p>
          <w:p w14:paraId="1CDADC5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(Hereditary </w:t>
            </w:r>
            <w:r>
              <w:rPr>
                <w:rFonts w:ascii="Times New Roman" w:hAnsi="Times New Roman" w:eastAsia="標楷體"/>
                <w:sz w:val="28"/>
                <w:szCs w:val="28"/>
              </w:rPr>
              <w:t>s</w:t>
            </w:r>
            <w:r>
              <w:rPr>
                <w:rFonts w:hint="eastAsia" w:ascii="Times New Roman" w:hAnsi="Times New Roman" w:eastAsia="標楷體"/>
                <w:sz w:val="28"/>
                <w:szCs w:val="28"/>
              </w:rPr>
              <w:t xml:space="preserve">pastic </w:t>
            </w:r>
            <w:r>
              <w:rPr>
                <w:rFonts w:ascii="Times New Roman" w:hAnsi="Times New Roman" w:eastAsia="標楷體"/>
                <w:sz w:val="28"/>
                <w:szCs w:val="28"/>
              </w:rPr>
              <w:t>p</w:t>
            </w:r>
            <w:r>
              <w:rPr>
                <w:rFonts w:hint="eastAsia" w:ascii="Times New Roman" w:hAnsi="Times New Roman" w:eastAsia="標楷體"/>
                <w:sz w:val="28"/>
                <w:szCs w:val="28"/>
              </w:rPr>
              <w:t>araplegia, HSP)</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343AE7B">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明確之致病基因變異，且臨床表現、身體及神經學檢查、影像學檢查及遺傳模式吻合</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268952FE">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，需檢附基因檢測報告(相關致病基因須位於OMIM資料庫具SPG編碼，須排除粒線體遺傳)</w:t>
            </w:r>
            <w:r>
              <w:rPr>
                <w:rFonts w:ascii="Times New Roman" w:hAnsi="Times New Roman" w:eastAsia="標楷體"/>
                <w:sz w:val="28"/>
                <w:szCs w:val="28"/>
              </w:rPr>
              <w:t xml:space="preserve"> 。</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D41977D">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需檢附(第1至3為必要)：</w:t>
            </w:r>
          </w:p>
          <w:p w14:paraId="585D7F9C">
            <w:pPr>
              <w:pStyle w:val="14"/>
              <w:widowControl/>
              <w:numPr>
                <w:ilvl w:val="0"/>
                <w:numId w:val="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病歷資料(含臨床病史、身體及神經學檢查及詳細家族史)</w:t>
            </w:r>
            <w:r>
              <w:rPr>
                <w:rFonts w:ascii="Times New Roman" w:hAnsi="Times New Roman" w:eastAsia="標楷體"/>
                <w:sz w:val="28"/>
                <w:szCs w:val="28"/>
              </w:rPr>
              <w:t xml:space="preserve"> </w:t>
            </w:r>
          </w:p>
          <w:p w14:paraId="15F55E6A">
            <w:pPr>
              <w:pStyle w:val="14"/>
              <w:widowControl/>
              <w:numPr>
                <w:ilvl w:val="0"/>
                <w:numId w:val="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脊髓核磁照影檢查報告</w:t>
            </w:r>
          </w:p>
          <w:p w14:paraId="0133BAB7">
            <w:pPr>
              <w:pStyle w:val="14"/>
              <w:widowControl/>
              <w:numPr>
                <w:ilvl w:val="0"/>
                <w:numId w:val="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388EA66B">
            <w:pPr>
              <w:pStyle w:val="14"/>
              <w:widowControl/>
              <w:numPr>
                <w:ilvl w:val="0"/>
                <w:numId w:val="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腦部核磁照影檢查報告</w:t>
            </w:r>
          </w:p>
          <w:p w14:paraId="53932998">
            <w:pPr>
              <w:pStyle w:val="14"/>
              <w:widowControl/>
              <w:numPr>
                <w:ilvl w:val="0"/>
                <w:numId w:val="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電氣生理學檢查</w:t>
            </w:r>
          </w:p>
        </w:tc>
      </w:tr>
      <w:tr w14:paraId="338CFDEB">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ABCAA6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1D281F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肌肉強直症</w:t>
            </w:r>
          </w:p>
          <w:p w14:paraId="52E0E52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(Myotonic </w:t>
            </w:r>
            <w:r>
              <w:rPr>
                <w:rFonts w:ascii="Times New Roman" w:hAnsi="Times New Roman" w:eastAsia="標楷體"/>
                <w:sz w:val="28"/>
                <w:szCs w:val="28"/>
              </w:rPr>
              <w:t>d</w:t>
            </w:r>
            <w:r>
              <w:rPr>
                <w:rFonts w:hint="eastAsia" w:ascii="Times New Roman" w:hAnsi="Times New Roman" w:eastAsia="標楷體"/>
                <w:sz w:val="28"/>
                <w:szCs w:val="28"/>
              </w:rPr>
              <w:t>yopathy)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8C45041">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骨骼肌系統符合4項必要臨床症狀及</w:t>
            </w:r>
            <w:r>
              <w:rPr>
                <w:rFonts w:ascii="Times New Roman" w:hAnsi="Times New Roman" w:eastAsia="標楷體"/>
                <w:i/>
                <w:iCs/>
                <w:sz w:val="28"/>
                <w:szCs w:val="28"/>
              </w:rPr>
              <w:t xml:space="preserve">DMPK </w:t>
            </w:r>
            <w:r>
              <w:rPr>
                <w:rFonts w:ascii="Times New Roman" w:hAnsi="Times New Roman" w:eastAsia="標楷體"/>
                <w:sz w:val="28"/>
                <w:szCs w:val="28"/>
              </w:rPr>
              <w:t xml:space="preserve">gene CTG </w:t>
            </w:r>
            <w:r>
              <w:rPr>
                <w:rFonts w:hint="eastAsia" w:ascii="Times New Roman" w:hAnsi="Times New Roman" w:eastAsia="標楷體"/>
                <w:sz w:val="28"/>
                <w:szCs w:val="28"/>
              </w:rPr>
              <w:t>三核苷異常重複擴增或</w:t>
            </w:r>
            <w:r>
              <w:rPr>
                <w:rFonts w:ascii="Times New Roman" w:hAnsi="Times New Roman" w:eastAsia="標楷體"/>
                <w:i/>
                <w:iCs/>
                <w:sz w:val="28"/>
                <w:szCs w:val="28"/>
              </w:rPr>
              <w:t>CNBP</w:t>
            </w:r>
            <w:r>
              <w:rPr>
                <w:rFonts w:ascii="Times New Roman" w:hAnsi="Times New Roman" w:eastAsia="標楷體"/>
                <w:sz w:val="28"/>
                <w:szCs w:val="28"/>
              </w:rPr>
              <w:t xml:space="preserve"> gene CCTG </w:t>
            </w:r>
            <w:r>
              <w:rPr>
                <w:rFonts w:hint="eastAsia" w:ascii="Times New Roman" w:hAnsi="Times New Roman" w:eastAsia="標楷體"/>
                <w:sz w:val="28"/>
                <w:szCs w:val="28"/>
              </w:rPr>
              <w:t>四核苷異常重複擴增</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E4798D7">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DMPK</w:t>
            </w:r>
            <w:r>
              <w:rPr>
                <w:rFonts w:hint="eastAsia" w:ascii="Times New Roman" w:hAnsi="Times New Roman" w:eastAsia="標楷體"/>
                <w:sz w:val="28"/>
                <w:szCs w:val="28"/>
              </w:rPr>
              <w:t xml:space="preserve"> 或</w:t>
            </w:r>
            <w:r>
              <w:rPr>
                <w:rFonts w:ascii="Times New Roman" w:hAnsi="Times New Roman" w:eastAsia="標楷體"/>
                <w:i/>
                <w:iCs/>
                <w:sz w:val="28"/>
                <w:szCs w:val="28"/>
              </w:rPr>
              <w:t>CNBP</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BBF5808">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56A10246">
            <w:pPr>
              <w:pStyle w:val="14"/>
              <w:widowControl/>
              <w:numPr>
                <w:ilvl w:val="0"/>
                <w:numId w:val="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病歷資料(包含臨床病史、身體及神經學檢查及詳細家族史)</w:t>
            </w:r>
          </w:p>
          <w:p w14:paraId="79E10953">
            <w:pPr>
              <w:pStyle w:val="14"/>
              <w:widowControl/>
              <w:numPr>
                <w:ilvl w:val="0"/>
                <w:numId w:val="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生化檢查報告</w:t>
            </w:r>
          </w:p>
          <w:p w14:paraId="492FA372">
            <w:pPr>
              <w:pStyle w:val="14"/>
              <w:widowControl/>
              <w:numPr>
                <w:ilvl w:val="0"/>
                <w:numId w:val="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心電圖及心臟超音波檢查報告</w:t>
            </w:r>
          </w:p>
          <w:p w14:paraId="439E34A4">
            <w:pPr>
              <w:pStyle w:val="14"/>
              <w:widowControl/>
              <w:numPr>
                <w:ilvl w:val="0"/>
                <w:numId w:val="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電氣生理學檢查報告</w:t>
            </w:r>
          </w:p>
          <w:p w14:paraId="27564475">
            <w:pPr>
              <w:pStyle w:val="14"/>
              <w:widowControl/>
              <w:numPr>
                <w:ilvl w:val="0"/>
                <w:numId w:val="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55F4A079">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2F5E9C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F17379C">
            <w:pPr>
              <w:widowControl/>
              <w:adjustRightInd w:val="0"/>
              <w:snapToGrid w:val="0"/>
              <w:spacing w:line="300" w:lineRule="exact"/>
              <w:jc w:val="center"/>
              <w:rPr>
                <w:rFonts w:ascii="Times New Roman" w:hAnsi="Times New Roman" w:eastAsia="標楷體"/>
                <w:sz w:val="28"/>
                <w:szCs w:val="28"/>
              </w:rPr>
            </w:pPr>
            <w:r>
              <w:rPr>
                <w:rFonts w:hint="eastAsia" w:ascii="Times New Roman" w:hAnsi="Times New Roman" w:eastAsia="標楷體"/>
                <w:sz w:val="28"/>
                <w:szCs w:val="28"/>
              </w:rPr>
              <w:t>磷脂質脂解酶</w:t>
            </w:r>
            <w:r>
              <w:rPr>
                <w:rFonts w:ascii="Times New Roman" w:hAnsi="Times New Roman" w:eastAsia="標楷體"/>
                <w:sz w:val="28"/>
                <w:szCs w:val="28"/>
              </w:rPr>
              <w:t>A2</w:t>
            </w:r>
            <w:r>
              <w:rPr>
                <w:rFonts w:hint="eastAsia" w:ascii="Times New Roman" w:hAnsi="Times New Roman" w:eastAsia="標楷體"/>
                <w:sz w:val="28"/>
                <w:szCs w:val="28"/>
              </w:rPr>
              <w:t>關聯之神經退化性疾病</w:t>
            </w:r>
            <w:r>
              <w:rPr>
                <w:rFonts w:ascii="Times New Roman" w:hAnsi="Times New Roman" w:eastAsia="標楷體"/>
                <w:sz w:val="28"/>
                <w:szCs w:val="28"/>
              </w:rPr>
              <w:br w:type="textWrapping"/>
            </w:r>
            <w:r>
              <w:rPr>
                <w:rFonts w:hint="eastAsia" w:ascii="Times New Roman" w:hAnsi="Times New Roman" w:eastAsia="標楷體"/>
                <w:sz w:val="28"/>
                <w:szCs w:val="28"/>
              </w:rPr>
              <w:t>(</w:t>
            </w:r>
            <w:r>
              <w:rPr>
                <w:rFonts w:ascii="Times New Roman" w:hAnsi="Times New Roman" w:eastAsia="標楷體"/>
                <w:sz w:val="28"/>
                <w:szCs w:val="28"/>
              </w:rPr>
              <w:t>Phospholipase A2-associated neurodegeneration, PLAN</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8BD4937">
            <w:pPr>
              <w:adjustRightInd w:val="0"/>
              <w:snapToGrid w:val="0"/>
              <w:spacing w:line="300" w:lineRule="exact"/>
              <w:jc w:val="both"/>
              <w:rPr>
                <w:rFonts w:ascii="Times New Roman" w:hAnsi="Times New Roman" w:eastAsia="標楷體"/>
                <w:sz w:val="28"/>
                <w:szCs w:val="28"/>
              </w:rPr>
            </w:pPr>
            <w:r>
              <w:rPr>
                <w:rFonts w:hint="eastAsia" w:ascii="Times New Roman" w:hAnsi="Times New Roman" w:eastAsia="標楷體"/>
                <w:sz w:val="28"/>
                <w:szCs w:val="28"/>
              </w:rPr>
              <w:t>依類型符合各4項之臨床表徵，</w:t>
            </w:r>
            <w:r>
              <w:rPr>
                <w:rFonts w:ascii="Times New Roman" w:hAnsi="Times New Roman" w:eastAsia="標楷體"/>
                <w:sz w:val="28"/>
                <w:szCs w:val="28"/>
              </w:rPr>
              <w:t>brain MRI</w:t>
            </w:r>
            <w:r>
              <w:rPr>
                <w:rFonts w:hint="eastAsia" w:ascii="Times New Roman" w:hAnsi="Times New Roman" w:eastAsia="標楷體"/>
                <w:sz w:val="28"/>
                <w:szCs w:val="28"/>
              </w:rPr>
              <w:t>影像異常且基因檢測結果顯示兩個</w:t>
            </w:r>
            <w:r>
              <w:rPr>
                <w:rFonts w:hint="eastAsia" w:ascii="Times New Roman" w:hAnsi="Times New Roman" w:eastAsia="標楷體"/>
                <w:i/>
                <w:iCs/>
                <w:sz w:val="28"/>
                <w:szCs w:val="28"/>
              </w:rPr>
              <w:t>PLA2G6</w:t>
            </w:r>
            <w:r>
              <w:rPr>
                <w:rFonts w:hint="eastAsia" w:ascii="Times New Roman" w:hAnsi="Times New Roman" w:eastAsia="標楷體"/>
                <w:sz w:val="28"/>
                <w:szCs w:val="28"/>
              </w:rPr>
              <w:t>等位基因皆出現致病突變</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40AEB266">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PLA2G6</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8FED0B8">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3299D845">
            <w:pPr>
              <w:pStyle w:val="14"/>
              <w:widowControl/>
              <w:numPr>
                <w:ilvl w:val="0"/>
                <w:numId w:val="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病歷資料(含臨床表徵、病程發展過程及發展里程碑等)</w:t>
            </w:r>
          </w:p>
          <w:p w14:paraId="530A9619">
            <w:pPr>
              <w:pStyle w:val="14"/>
              <w:widowControl/>
              <w:numPr>
                <w:ilvl w:val="0"/>
                <w:numId w:val="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582D1E6A">
            <w:pPr>
              <w:pStyle w:val="14"/>
              <w:widowControl/>
              <w:numPr>
                <w:ilvl w:val="0"/>
                <w:numId w:val="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影像報告</w:t>
            </w:r>
          </w:p>
        </w:tc>
      </w:tr>
      <w:tr w14:paraId="03EE6AEF">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4BD253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CE22E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重型海洋性貧血</w:t>
            </w:r>
          </w:p>
          <w:p w14:paraId="074A627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(Thalassemia major)</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BB11A45">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具診斷病史(診斷年齡小於6歲、明顯貧血)及輸血需求</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449A022">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79114BC">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13D56F14">
            <w:pPr>
              <w:pStyle w:val="14"/>
              <w:widowControl/>
              <w:numPr>
                <w:ilvl w:val="0"/>
                <w:numId w:val="1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病歷資料及輸血紀錄</w:t>
            </w:r>
          </w:p>
          <w:p w14:paraId="7E1312A0">
            <w:pPr>
              <w:pStyle w:val="14"/>
              <w:widowControl/>
              <w:numPr>
                <w:ilvl w:val="0"/>
                <w:numId w:val="1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血液檢驗報告</w:t>
            </w:r>
          </w:p>
          <w:p w14:paraId="3CBE8574">
            <w:pPr>
              <w:pStyle w:val="14"/>
              <w:widowControl/>
              <w:numPr>
                <w:ilvl w:val="0"/>
                <w:numId w:val="1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血紅素電泳分析報告</w:t>
            </w:r>
          </w:p>
          <w:p w14:paraId="74127A65">
            <w:pPr>
              <w:pStyle w:val="14"/>
              <w:widowControl/>
              <w:numPr>
                <w:ilvl w:val="0"/>
                <w:numId w:val="1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基因報告</w:t>
            </w:r>
          </w:p>
        </w:tc>
      </w:tr>
      <w:tr w14:paraId="7E54D6A0">
        <w:tblPrEx>
          <w:tblCellMar>
            <w:top w:w="0" w:type="dxa"/>
            <w:left w:w="10" w:type="dxa"/>
            <w:bottom w:w="0" w:type="dxa"/>
            <w:right w:w="10" w:type="dxa"/>
          </w:tblCellMar>
        </w:tblPrEx>
        <w:trPr>
          <w:trHeight w:val="4252"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C88F83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DA721F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威爾森氏症</w:t>
            </w:r>
            <w:r>
              <w:rPr>
                <w:rFonts w:ascii="Times New Roman" w:hAnsi="Times New Roman" w:eastAsia="標楷體"/>
                <w:sz w:val="28"/>
                <w:szCs w:val="28"/>
              </w:rPr>
              <w:br w:type="textWrapping"/>
            </w:r>
            <w:r>
              <w:rPr>
                <w:rFonts w:ascii="Times New Roman" w:hAnsi="Times New Roman" w:eastAsia="標楷體"/>
                <w:sz w:val="28"/>
                <w:szCs w:val="28"/>
              </w:rPr>
              <w:t>(Wilson’s disease)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D4F1F1B">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1)</w:t>
            </w:r>
            <w:r>
              <w:rPr>
                <w:rFonts w:hint="eastAsia"/>
              </w:rPr>
              <w:t xml:space="preserve"> </w:t>
            </w:r>
            <w:r>
              <w:rPr>
                <w:rFonts w:hint="eastAsia" w:ascii="Times New Roman" w:hAnsi="Times New Roman" w:eastAsia="標楷體"/>
                <w:sz w:val="28"/>
                <w:szCs w:val="28"/>
              </w:rPr>
              <w:t>ATP7B基因具致病雙等位基因突變，符合至少一系統(肝臟、血液、神經、精神)中所規範之臨床症狀及徵兆，且血清藍胞漿等符合診斷條件；或</w:t>
            </w:r>
          </w:p>
          <w:p w14:paraId="6FCE9509">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(2)</w:t>
            </w:r>
            <w:r>
              <w:rPr>
                <w:rFonts w:hint="eastAsia"/>
              </w:rPr>
              <w:t xml:space="preserve"> </w:t>
            </w:r>
            <w:r>
              <w:rPr>
                <w:rFonts w:hint="eastAsia" w:ascii="Times New Roman" w:hAnsi="Times New Roman" w:eastAsia="標楷體"/>
                <w:color w:val="000000"/>
                <w:sz w:val="28"/>
                <w:szCs w:val="28"/>
              </w:rPr>
              <w:t>ATP7B基因具致病單等位基因突變</w:t>
            </w:r>
            <w:r>
              <w:rPr>
                <w:rFonts w:hint="eastAsia" w:ascii="Times New Roman" w:hAnsi="Times New Roman" w:eastAsia="標楷體"/>
                <w:sz w:val="28"/>
                <w:szCs w:val="28"/>
              </w:rPr>
              <w:t>，符合至少一系統(肝臟、血液、神經、精神)中所規範之臨床症狀及徵兆，且Kayser-Fleischer rings、血清藍胞漿素及尿液含銅量等符合診斷條件；或(3</w:t>
            </w:r>
            <w:r>
              <w:rPr>
                <w:rFonts w:ascii="Times New Roman" w:hAnsi="Times New Roman" w:eastAsia="標楷體"/>
                <w:sz w:val="28"/>
                <w:szCs w:val="28"/>
              </w:rPr>
              <w:t>)</w:t>
            </w:r>
            <w:r>
              <w:rPr>
                <w:rFonts w:hint="eastAsia" w:ascii="Times New Roman" w:hAnsi="Times New Roman" w:eastAsia="標楷體"/>
                <w:sz w:val="28"/>
                <w:szCs w:val="28"/>
              </w:rPr>
              <w:t xml:space="preserve"> ATP7B基因未具致病雙等位基因突變，符合至少一系統(肝臟、血液、神經、精神)中所規範之臨床症狀及徵兆，且Kayser-Fleischer rings、血清藍胞漿素、尿液含銅量及乾燥肝細胞組織含銅量等符合診斷條件。</w:t>
            </w:r>
          </w:p>
        </w:tc>
        <w:tc>
          <w:tcPr>
            <w:tcW w:w="801" w:type="pct"/>
            <w:tcBorders>
              <w:top w:val="single" w:color="000000" w:sz="4" w:space="0"/>
              <w:left w:val="single" w:color="000000" w:sz="4" w:space="0"/>
              <w:bottom w:val="single" w:color="000000" w:sz="4" w:space="0"/>
              <w:right w:val="single" w:color="000000" w:sz="4" w:space="0"/>
            </w:tcBorders>
          </w:tcPr>
          <w:p w14:paraId="63385CB9">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ATP7B</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44A1920">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需檢附(第1至3為必要)：</w:t>
            </w:r>
          </w:p>
          <w:p w14:paraId="29B29407">
            <w:pPr>
              <w:pStyle w:val="14"/>
              <w:widowControl/>
              <w:numPr>
                <w:ilvl w:val="0"/>
                <w:numId w:val="1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病歷資料(含臨床症狀及徵兆、身體及神經學檢查及眼科會診病歷資料)</w:t>
            </w:r>
            <w:r>
              <w:rPr>
                <w:rFonts w:ascii="Times New Roman" w:hAnsi="Times New Roman" w:eastAsia="標楷體"/>
                <w:sz w:val="28"/>
                <w:szCs w:val="28"/>
              </w:rPr>
              <w:t xml:space="preserve"> </w:t>
            </w:r>
          </w:p>
          <w:p w14:paraId="42E59B3F">
            <w:pPr>
              <w:pStyle w:val="14"/>
              <w:widowControl/>
              <w:numPr>
                <w:ilvl w:val="0"/>
                <w:numId w:val="1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實驗室檢查報告(血清銅濃度、血清藍胞漿素及 24小時尿液含銅量)</w:t>
            </w:r>
          </w:p>
          <w:p w14:paraId="7D819D65">
            <w:pPr>
              <w:pStyle w:val="14"/>
              <w:widowControl/>
              <w:numPr>
                <w:ilvl w:val="0"/>
                <w:numId w:val="1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676E36E2">
            <w:pPr>
              <w:pStyle w:val="14"/>
              <w:widowControl/>
              <w:numPr>
                <w:ilvl w:val="0"/>
                <w:numId w:val="1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腦部核磁共振造影影像報告 (神經及精神表現者為必要；肝臟及血液學表現者為選擇)</w:t>
            </w:r>
          </w:p>
          <w:p w14:paraId="70801FE7">
            <w:pPr>
              <w:pStyle w:val="14"/>
              <w:widowControl/>
              <w:numPr>
                <w:ilvl w:val="0"/>
                <w:numId w:val="1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肝臟組織學檢驗報告(選擇)</w:t>
            </w:r>
          </w:p>
        </w:tc>
      </w:tr>
      <w:tr w14:paraId="04C0D0FD">
        <w:tblPrEx>
          <w:tblCellMar>
            <w:top w:w="0" w:type="dxa"/>
            <w:left w:w="10" w:type="dxa"/>
            <w:bottom w:w="0" w:type="dxa"/>
            <w:right w:w="10" w:type="dxa"/>
          </w:tblCellMar>
        </w:tblPrEx>
        <w:trPr>
          <w:trHeight w:val="1871"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7BAC61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34F287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亨丁頓氏舞蹈症</w:t>
            </w:r>
            <w:r>
              <w:rPr>
                <w:rFonts w:ascii="Times New Roman" w:hAnsi="Times New Roman" w:eastAsia="標楷體"/>
                <w:sz w:val="28"/>
                <w:szCs w:val="28"/>
              </w:rPr>
              <w:br w:type="textWrapping"/>
            </w:r>
            <w:r>
              <w:rPr>
                <w:rFonts w:hint="eastAsia" w:ascii="Times New Roman" w:hAnsi="Times New Roman" w:eastAsia="標楷體"/>
                <w:sz w:val="28"/>
                <w:szCs w:val="28"/>
              </w:rPr>
              <w:t>(Huntington disease，又稱Huntington's chorea)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ED04694">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5項臨床表徵及徵兆中符合至少1項且合併基因檢測結果顯示HTT之CAG序列重複數≧36</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57308497">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HTT</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B5B731D">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7E5C0CB4">
            <w:pPr>
              <w:pStyle w:val="14"/>
              <w:widowControl/>
              <w:numPr>
                <w:ilvl w:val="0"/>
                <w:numId w:val="1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病歷資料(含發病過程、發病年齡、家族史、臨床症狀及徵兆病歷紀錄)</w:t>
            </w:r>
          </w:p>
          <w:p w14:paraId="2C604842">
            <w:pPr>
              <w:pStyle w:val="14"/>
              <w:widowControl/>
              <w:numPr>
                <w:ilvl w:val="0"/>
                <w:numId w:val="1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1D847408">
        <w:tblPrEx>
          <w:tblCellMar>
            <w:top w:w="0" w:type="dxa"/>
            <w:left w:w="10" w:type="dxa"/>
            <w:bottom w:w="0" w:type="dxa"/>
            <w:right w:w="10" w:type="dxa"/>
          </w:tblCellMar>
        </w:tblPrEx>
        <w:trPr>
          <w:trHeight w:val="396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41E388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66C4D5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甘迺迪氏症</w:t>
            </w:r>
          </w:p>
          <w:p w14:paraId="43E0E86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(脊髓延髓性肌肉萎縮症)</w:t>
            </w:r>
            <w:r>
              <w:rPr>
                <w:rFonts w:ascii="Times New Roman" w:hAnsi="Times New Roman" w:eastAsia="標楷體"/>
                <w:sz w:val="28"/>
                <w:szCs w:val="28"/>
              </w:rPr>
              <w:br w:type="textWrapping"/>
            </w:r>
            <w:r>
              <w:rPr>
                <w:rFonts w:hint="eastAsia" w:ascii="Times New Roman" w:hAnsi="Times New Roman" w:eastAsia="標楷體"/>
                <w:sz w:val="28"/>
                <w:szCs w:val="28"/>
              </w:rPr>
              <w:t>(</w:t>
            </w:r>
            <w:r>
              <w:rPr>
                <w:rFonts w:ascii="Times New Roman" w:hAnsi="Times New Roman" w:eastAsia="標楷體"/>
                <w:sz w:val="28"/>
                <w:szCs w:val="28"/>
              </w:rPr>
              <w:t>Kennedy disease, Spinal and bular muscular atrophy</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640049E">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5項臨床表徵及徵兆中符合至少</w:t>
            </w:r>
            <w:r>
              <w:rPr>
                <w:rFonts w:ascii="Times New Roman" w:hAnsi="Times New Roman" w:eastAsia="標楷體"/>
                <w:sz w:val="28"/>
                <w:szCs w:val="28"/>
              </w:rPr>
              <w:t>2</w:t>
            </w:r>
            <w:r>
              <w:rPr>
                <w:rFonts w:hint="eastAsia" w:ascii="Times New Roman" w:hAnsi="Times New Roman" w:eastAsia="標楷體"/>
                <w:sz w:val="28"/>
                <w:szCs w:val="28"/>
              </w:rPr>
              <w:t>項，其中須包含肌肉無力，神經電生理檢查呈現背根神經元或下運動神經元病灶證據，且Androgen receptor基因之CAG trinucleotide repeat數值&gt;35</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0FDF566">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，需檢附X染色體Androgen Receptor基因檢測報告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9BBEEEC">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29C9954D">
            <w:pPr>
              <w:pStyle w:val="14"/>
              <w:widowControl/>
              <w:numPr>
                <w:ilvl w:val="0"/>
                <w:numId w:val="13"/>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病歷資料(含病史、病程與家族史、臨床表徵及徵兆)</w:t>
            </w:r>
          </w:p>
          <w:p w14:paraId="3571677A">
            <w:pPr>
              <w:pStyle w:val="14"/>
              <w:widowControl/>
              <w:numPr>
                <w:ilvl w:val="0"/>
                <w:numId w:val="13"/>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神經電生理檢查資料與報告</w:t>
            </w:r>
          </w:p>
          <w:p w14:paraId="5A9B93DD">
            <w:pPr>
              <w:pStyle w:val="14"/>
              <w:widowControl/>
              <w:numPr>
                <w:ilvl w:val="0"/>
                <w:numId w:val="13"/>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322FAFAD">
        <w:tblPrEx>
          <w:tblCellMar>
            <w:top w:w="0" w:type="dxa"/>
            <w:left w:w="10" w:type="dxa"/>
            <w:bottom w:w="0" w:type="dxa"/>
            <w:right w:w="10" w:type="dxa"/>
          </w:tblCellMar>
        </w:tblPrEx>
        <w:trPr>
          <w:trHeight w:val="2557"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D641C3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49B447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裘馨氏肌肉</w:t>
            </w:r>
          </w:p>
          <w:p w14:paraId="539F7FC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失養症</w:t>
            </w:r>
            <w:r>
              <w:rPr>
                <w:rFonts w:ascii="Times New Roman" w:hAnsi="Times New Roman" w:eastAsia="標楷體"/>
                <w:sz w:val="28"/>
                <w:szCs w:val="28"/>
              </w:rPr>
              <w:br w:type="textWrapping"/>
            </w:r>
            <w:r>
              <w:rPr>
                <w:rFonts w:ascii="Times New Roman" w:hAnsi="Times New Roman" w:eastAsia="標楷體"/>
                <w:sz w:val="28"/>
                <w:szCs w:val="28"/>
              </w:rPr>
              <w:t>(Duchenne muscular dystrophy</w:t>
            </w:r>
            <w:r>
              <w:rPr>
                <w:rFonts w:hint="eastAsia" w:ascii="Times New Roman" w:hAnsi="Times New Roman" w:eastAsia="標楷體"/>
                <w:sz w:val="28"/>
                <w:szCs w:val="28"/>
              </w:rPr>
              <w:t>,</w:t>
            </w:r>
            <w:r>
              <w:rPr>
                <w:rFonts w:ascii="Times New Roman" w:hAnsi="Times New Roman" w:eastAsia="標楷體"/>
                <w:sz w:val="28"/>
                <w:szCs w:val="28"/>
              </w:rPr>
              <w:t xml:space="preserve"> DMD)</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8F68FC6">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符合至少1項臨床表徵及徵兆及至少2項神經學檢查(其中近側端肢體無力為必要)、並具致病之</w:t>
            </w:r>
            <w:r>
              <w:rPr>
                <w:rFonts w:hint="eastAsia" w:ascii="Times New Roman" w:hAnsi="Times New Roman" w:eastAsia="標楷體"/>
                <w:i/>
                <w:iCs/>
                <w:sz w:val="28"/>
                <w:szCs w:val="28"/>
              </w:rPr>
              <w:t>DMD</w:t>
            </w:r>
            <w:r>
              <w:rPr>
                <w:rFonts w:hint="eastAsia" w:ascii="Times New Roman" w:hAnsi="Times New Roman" w:eastAsia="標楷體"/>
                <w:sz w:val="28"/>
                <w:szCs w:val="28"/>
              </w:rPr>
              <w:t>基因點突變、缺失或重複</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5F67088">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DMD</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A47BD77">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1D3C5094">
            <w:pPr>
              <w:pStyle w:val="14"/>
              <w:widowControl/>
              <w:numPr>
                <w:ilvl w:val="0"/>
                <w:numId w:val="14"/>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病歷資料(含臨床病史、家族史、臨床表徵及徵兆)</w:t>
            </w:r>
          </w:p>
          <w:p w14:paraId="2DEC0925">
            <w:pPr>
              <w:pStyle w:val="14"/>
              <w:widowControl/>
              <w:numPr>
                <w:ilvl w:val="0"/>
                <w:numId w:val="14"/>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實驗室檢查(含 CK、ALT、AST)</w:t>
            </w:r>
          </w:p>
          <w:p w14:paraId="53279FF1">
            <w:pPr>
              <w:pStyle w:val="14"/>
              <w:widowControl/>
              <w:numPr>
                <w:ilvl w:val="0"/>
                <w:numId w:val="14"/>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46E6C5DA">
        <w:tblPrEx>
          <w:tblCellMar>
            <w:top w:w="0" w:type="dxa"/>
            <w:left w:w="10" w:type="dxa"/>
            <w:bottom w:w="0" w:type="dxa"/>
            <w:right w:w="10" w:type="dxa"/>
          </w:tblCellMar>
        </w:tblPrEx>
        <w:trPr>
          <w:trHeight w:val="266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A73527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530930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夏柯-馬利-杜斯</w:t>
            </w:r>
          </w:p>
          <w:p w14:paraId="1385329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氏症</w:t>
            </w:r>
            <w:r>
              <w:rPr>
                <w:rFonts w:ascii="Times New Roman" w:hAnsi="Times New Roman" w:eastAsia="標楷體"/>
                <w:sz w:val="28"/>
                <w:szCs w:val="28"/>
              </w:rPr>
              <w:br w:type="textWrapping"/>
            </w:r>
            <w:r>
              <w:rPr>
                <w:rFonts w:hint="eastAsia" w:ascii="Times New Roman" w:hAnsi="Times New Roman" w:eastAsia="標楷體"/>
                <w:sz w:val="28"/>
                <w:szCs w:val="28"/>
              </w:rPr>
              <w:t xml:space="preserve">(Charcot-Marie-Tooth </w:t>
            </w:r>
            <w:r>
              <w:rPr>
                <w:rFonts w:ascii="Times New Roman" w:hAnsi="Times New Roman" w:eastAsia="標楷體"/>
                <w:sz w:val="28"/>
                <w:szCs w:val="28"/>
              </w:rPr>
              <w:t>d</w:t>
            </w:r>
            <w:r>
              <w:rPr>
                <w:rFonts w:hint="eastAsia" w:ascii="Times New Roman" w:hAnsi="Times New Roman" w:eastAsia="標楷體"/>
                <w:sz w:val="28"/>
                <w:szCs w:val="28"/>
              </w:rPr>
              <w:t>isease)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7F16892">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明確之家族病史及基因變異之臨床型及基因型吻合，或無明確之家族疾病史，但有明確之基因變異之臨床型及基因型吻合</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34593F7">
            <w:pPr>
              <w:adjustRightInd w:val="0"/>
              <w:snapToGrid w:val="0"/>
              <w:spacing w:line="340" w:lineRule="exact"/>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，需檢附相關基因(如</w:t>
            </w:r>
            <w:r>
              <w:rPr>
                <w:rFonts w:hint="eastAsia" w:ascii="Times New Roman" w:hAnsi="Times New Roman" w:eastAsia="標楷體"/>
                <w:i/>
                <w:iCs/>
                <w:sz w:val="28"/>
                <w:szCs w:val="28"/>
              </w:rPr>
              <w:t>PMP22</w:t>
            </w:r>
            <w:r>
              <w:rPr>
                <w:rFonts w:hint="eastAsia" w:ascii="Times New Roman" w:hAnsi="Times New Roman" w:eastAsia="標楷體"/>
                <w:sz w:val="28"/>
                <w:szCs w:val="28"/>
              </w:rPr>
              <w:t>、</w:t>
            </w:r>
            <w:r>
              <w:rPr>
                <w:rFonts w:hint="eastAsia" w:ascii="Times New Roman" w:hAnsi="Times New Roman" w:eastAsia="標楷體"/>
                <w:i/>
                <w:iCs/>
                <w:sz w:val="28"/>
                <w:szCs w:val="28"/>
              </w:rPr>
              <w:t>MPZ</w:t>
            </w:r>
            <w:r>
              <w:rPr>
                <w:rFonts w:hint="eastAsia" w:ascii="Times New Roman" w:hAnsi="Times New Roman" w:eastAsia="標楷體"/>
                <w:sz w:val="28"/>
                <w:szCs w:val="28"/>
              </w:rPr>
              <w:t>、</w:t>
            </w:r>
            <w:r>
              <w:rPr>
                <w:rFonts w:hint="eastAsia" w:ascii="Times New Roman" w:hAnsi="Times New Roman" w:eastAsia="標楷體"/>
                <w:i/>
                <w:iCs/>
                <w:sz w:val="28"/>
                <w:szCs w:val="28"/>
              </w:rPr>
              <w:t>GJB1</w:t>
            </w:r>
            <w:r>
              <w:rPr>
                <w:rFonts w:hint="eastAsia" w:ascii="Times New Roman" w:hAnsi="Times New Roman" w:eastAsia="標楷體"/>
                <w:sz w:val="28"/>
                <w:szCs w:val="28"/>
              </w:rPr>
              <w:t>等)檢測報告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F4A2600">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7AA09B7A">
            <w:pPr>
              <w:pStyle w:val="14"/>
              <w:widowControl/>
              <w:numPr>
                <w:ilvl w:val="0"/>
                <w:numId w:val="15"/>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病歷資料(含臨床症狀及徵兆之病歷資料並有多次看診紀錄及詳細家族病史)</w:t>
            </w:r>
          </w:p>
          <w:p w14:paraId="7E79811E">
            <w:pPr>
              <w:pStyle w:val="14"/>
              <w:widowControl/>
              <w:numPr>
                <w:ilvl w:val="0"/>
                <w:numId w:val="15"/>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周邊神經病變之證據</w:t>
            </w:r>
          </w:p>
          <w:p w14:paraId="165B4806">
            <w:pPr>
              <w:pStyle w:val="14"/>
              <w:widowControl/>
              <w:numPr>
                <w:ilvl w:val="0"/>
                <w:numId w:val="15"/>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20135E55">
        <w:tblPrEx>
          <w:tblCellMar>
            <w:top w:w="0" w:type="dxa"/>
            <w:left w:w="10" w:type="dxa"/>
            <w:bottom w:w="0" w:type="dxa"/>
            <w:right w:w="10" w:type="dxa"/>
          </w:tblCellMar>
        </w:tblPrEx>
        <w:trPr>
          <w:trHeight w:val="2547"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E41147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2</w:t>
            </w:r>
            <w:r>
              <w:rPr>
                <w:rFonts w:ascii="Times New Roman" w:hAnsi="Times New Roman" w:eastAsia="標楷體"/>
                <w:sz w:val="28"/>
                <w:szCs w:val="28"/>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1BACBA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肢帶型肌失養症</w:t>
            </w:r>
            <w:r>
              <w:rPr>
                <w:rFonts w:ascii="Times New Roman" w:hAnsi="Times New Roman" w:eastAsia="標楷體"/>
                <w:sz w:val="28"/>
                <w:szCs w:val="28"/>
              </w:rPr>
              <w:br w:type="textWrapping"/>
            </w:r>
            <w:r>
              <w:rPr>
                <w:rFonts w:ascii="Times New Roman" w:hAnsi="Times New Roman" w:eastAsia="標楷體"/>
                <w:sz w:val="28"/>
                <w:szCs w:val="28"/>
              </w:rPr>
              <w:t>(Limb-girdle muscular dystrophy, LGMD)</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23CF3D">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符合至少近端無力之臨床表徵及徵兆，並具致病基因</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6D21D85">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5C3404D">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7E867A4C">
            <w:pPr>
              <w:pStyle w:val="14"/>
              <w:widowControl/>
              <w:numPr>
                <w:ilvl w:val="0"/>
                <w:numId w:val="1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臨床症狀及徵兆的病歷紀錄</w:t>
            </w:r>
          </w:p>
          <w:p w14:paraId="080EBBE2">
            <w:pPr>
              <w:pStyle w:val="14"/>
              <w:widowControl/>
              <w:numPr>
                <w:ilvl w:val="0"/>
                <w:numId w:val="1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實驗室檢查報告，含CK值及肌電圖/神經傳導報告</w:t>
            </w:r>
          </w:p>
          <w:p w14:paraId="384A93C2">
            <w:pPr>
              <w:pStyle w:val="14"/>
              <w:widowControl/>
              <w:numPr>
                <w:ilvl w:val="0"/>
                <w:numId w:val="1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0FB933DA">
        <w:tblPrEx>
          <w:tblCellMar>
            <w:top w:w="0" w:type="dxa"/>
            <w:left w:w="10" w:type="dxa"/>
            <w:bottom w:w="0" w:type="dxa"/>
            <w:right w:w="10" w:type="dxa"/>
          </w:tblCellMar>
        </w:tblPrEx>
        <w:trPr>
          <w:trHeight w:val="294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216A91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w:t>
            </w:r>
            <w:r>
              <w:rPr>
                <w:rFonts w:ascii="Times New Roman" w:hAnsi="Times New Roman" w:eastAsia="標楷體"/>
                <w:sz w:val="28"/>
                <w:szCs w:val="28"/>
              </w:rPr>
              <w:t>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61926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紫質症</w:t>
            </w:r>
            <w:r>
              <w:rPr>
                <w:rFonts w:ascii="Times New Roman" w:hAnsi="Times New Roman" w:eastAsia="標楷體"/>
                <w:sz w:val="28"/>
                <w:szCs w:val="28"/>
              </w:rPr>
              <w:br w:type="textWrapping"/>
            </w:r>
            <w:r>
              <w:rPr>
                <w:rFonts w:hint="eastAsia" w:ascii="Times New Roman" w:hAnsi="Times New Roman" w:eastAsia="標楷體"/>
                <w:sz w:val="28"/>
                <w:szCs w:val="28"/>
              </w:rPr>
              <w:t>(</w:t>
            </w:r>
            <w:r>
              <w:rPr>
                <w:rFonts w:ascii="Times New Roman" w:hAnsi="Times New Roman" w:eastAsia="標楷體"/>
                <w:sz w:val="28"/>
                <w:szCs w:val="28"/>
              </w:rPr>
              <w:t>Porphyria</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C3A31FD">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發現致病基因變異確診或未發現致病基因變異但酵素異常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F9C9613">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535FE65">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036D119B">
            <w:pPr>
              <w:pStyle w:val="14"/>
              <w:widowControl/>
              <w:numPr>
                <w:ilvl w:val="0"/>
                <w:numId w:val="17"/>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臨床症狀及徵兆的病歷紀錄</w:t>
            </w:r>
          </w:p>
          <w:p w14:paraId="0A492188">
            <w:pPr>
              <w:pStyle w:val="14"/>
              <w:widowControl/>
              <w:numPr>
                <w:ilvl w:val="0"/>
                <w:numId w:val="17"/>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實驗室檢查報告(尿液、血漿或糞便中紫質含量及酵素活性分析之報告) </w:t>
            </w:r>
          </w:p>
          <w:p w14:paraId="3298170E">
            <w:pPr>
              <w:pStyle w:val="14"/>
              <w:widowControl/>
              <w:numPr>
                <w:ilvl w:val="0"/>
                <w:numId w:val="17"/>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6191D902">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F06FBC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9F5C30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皮特-霍普金斯</w:t>
            </w:r>
          </w:p>
          <w:p w14:paraId="4446E2A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症候群</w:t>
            </w:r>
            <w:r>
              <w:rPr>
                <w:rFonts w:ascii="Times New Roman" w:hAnsi="Times New Roman" w:eastAsia="標楷體"/>
                <w:sz w:val="28"/>
                <w:szCs w:val="28"/>
              </w:rPr>
              <w:br w:type="textWrapping"/>
            </w:r>
            <w:r>
              <w:rPr>
                <w:rFonts w:hint="eastAsia" w:ascii="Times New Roman" w:hAnsi="Times New Roman" w:eastAsia="標楷體"/>
                <w:sz w:val="28"/>
                <w:szCs w:val="28"/>
              </w:rPr>
              <w:t xml:space="preserve">(Pitt-Hopkins </w:t>
            </w:r>
            <w:r>
              <w:rPr>
                <w:rFonts w:ascii="Times New Roman" w:hAnsi="Times New Roman" w:eastAsia="標楷體"/>
                <w:sz w:val="28"/>
                <w:szCs w:val="28"/>
              </w:rPr>
              <w:t>s</w:t>
            </w:r>
            <w:r>
              <w:rPr>
                <w:rFonts w:hint="eastAsia" w:ascii="Times New Roman" w:hAnsi="Times New Roman" w:eastAsia="標楷體"/>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E7283C6">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具發展遲緩之病史、臨床症狀及徵兆，腦部核磁造影只顯示胼胝體發育不良或腦是輕微擴大或腦輕度萎縮或正常，並有</w:t>
            </w:r>
            <w:r>
              <w:rPr>
                <w:rFonts w:hint="eastAsia" w:ascii="Times New Roman" w:hAnsi="Times New Roman" w:eastAsia="標楷體"/>
                <w:i/>
                <w:iCs/>
                <w:sz w:val="28"/>
                <w:szCs w:val="28"/>
              </w:rPr>
              <w:t>TCF4</w:t>
            </w:r>
            <w:r>
              <w:rPr>
                <w:rFonts w:hint="eastAsia" w:ascii="Times New Roman" w:hAnsi="Times New Roman" w:eastAsia="標楷體"/>
                <w:sz w:val="28"/>
                <w:szCs w:val="28"/>
              </w:rPr>
              <w:t>基因突變</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A3631F9">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TCF4</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C27FECA">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35666359">
            <w:pPr>
              <w:pStyle w:val="14"/>
              <w:widowControl/>
              <w:numPr>
                <w:ilvl w:val="0"/>
                <w:numId w:val="1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w:t>
            </w:r>
          </w:p>
          <w:p w14:paraId="33FE309D">
            <w:pPr>
              <w:pStyle w:val="14"/>
              <w:widowControl/>
              <w:numPr>
                <w:ilvl w:val="0"/>
                <w:numId w:val="1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發展評估報告</w:t>
            </w:r>
          </w:p>
          <w:p w14:paraId="399BC45D">
            <w:pPr>
              <w:pStyle w:val="14"/>
              <w:widowControl/>
              <w:numPr>
                <w:ilvl w:val="0"/>
                <w:numId w:val="1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影像學檢查</w:t>
            </w:r>
          </w:p>
          <w:p w14:paraId="27C8E8A5">
            <w:pPr>
              <w:pStyle w:val="14"/>
              <w:widowControl/>
              <w:numPr>
                <w:ilvl w:val="0"/>
                <w:numId w:val="1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基因報告</w:t>
            </w:r>
          </w:p>
        </w:tc>
      </w:tr>
      <w:tr w14:paraId="3C5E2C04">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33EFE1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2A776F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雷伯氏遺傳性</w:t>
            </w:r>
          </w:p>
          <w:p w14:paraId="3D8B2F0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視神經病變</w:t>
            </w:r>
            <w:r>
              <w:rPr>
                <w:rFonts w:ascii="Times New Roman" w:hAnsi="Times New Roman" w:eastAsia="標楷體"/>
                <w:sz w:val="28"/>
                <w:szCs w:val="28"/>
              </w:rPr>
              <w:br w:type="textWrapping"/>
            </w:r>
            <w:r>
              <w:rPr>
                <w:rFonts w:hint="eastAsia" w:ascii="Times New Roman" w:hAnsi="Times New Roman" w:eastAsia="標楷體"/>
                <w:sz w:val="28"/>
                <w:szCs w:val="28"/>
              </w:rPr>
              <w:t>(Leber hereditary optic neuropathy)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F971454">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需完全符合下列3項：</w:t>
            </w:r>
          </w:p>
          <w:p w14:paraId="01F3A1A0">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1)</w:t>
            </w:r>
            <w:r>
              <w:rPr>
                <w:rFonts w:hint="eastAsia" w:ascii="Times New Roman" w:hAnsi="Times New Roman" w:eastAsia="標楷體"/>
                <w:sz w:val="28"/>
                <w:szCs w:val="28"/>
              </w:rPr>
              <w:t>符合至少一項眼科症狀及徵兆</w:t>
            </w:r>
          </w:p>
          <w:p w14:paraId="7A8C390F">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2)</w:t>
            </w:r>
            <w:r>
              <w:rPr>
                <w:rFonts w:hint="eastAsia" w:ascii="Times New Roman" w:hAnsi="Times New Roman" w:eastAsia="標楷體"/>
                <w:sz w:val="28"/>
                <w:szCs w:val="28"/>
              </w:rPr>
              <w:t>眼科檢查，包含視力檢查、眼底檢查及視野檢查，符合雷伯氏遺傳性視神經病(LHON)</w:t>
            </w:r>
          </w:p>
          <w:p w14:paraId="7075EEA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3)</w:t>
            </w:r>
            <w:r>
              <w:rPr>
                <w:rFonts w:hint="eastAsia" w:ascii="Times New Roman" w:hAnsi="Times New Roman" w:eastAsia="標楷體"/>
                <w:sz w:val="28"/>
                <w:szCs w:val="28"/>
              </w:rPr>
              <w:t>具雷伯氏遺傳性視神經病變(LHON)主要致病基因變異及相關文獻證實之其他致病基因變異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7519DB0">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，需檢附雷伯氏遺傳性視神經病變(LHON)主要致病基因或相關文獻證實之其他致病基因檢測報告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11B501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需檢附(第1至4為必要)：</w:t>
            </w:r>
          </w:p>
          <w:p w14:paraId="5FDD4705">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病歷資料(含臨床病史、症狀、其他系統疾病、家族史及最佳矯正視力等)</w:t>
            </w:r>
          </w:p>
          <w:p w14:paraId="46FA6687">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眼底檢查影像</w:t>
            </w:r>
          </w:p>
          <w:p w14:paraId="0F3C2F79">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24度或30度自動視野檢查報告</w:t>
            </w:r>
          </w:p>
          <w:p w14:paraId="12F5F40D">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00A047F4">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腦部核磁共振照影檢查報告</w:t>
            </w:r>
          </w:p>
          <w:p w14:paraId="1FF51C15">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電氣生理學檢查</w:t>
            </w:r>
          </w:p>
          <w:p w14:paraId="19430D33">
            <w:pPr>
              <w:pStyle w:val="14"/>
              <w:widowControl/>
              <w:numPr>
                <w:ilvl w:val="0"/>
                <w:numId w:val="1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心電圖檢查</w:t>
            </w:r>
          </w:p>
        </w:tc>
      </w:tr>
      <w:tr w14:paraId="6735A4CF">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3CB666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w:t>
            </w:r>
            <w:r>
              <w:rPr>
                <w:rFonts w:ascii="Times New Roman" w:hAnsi="Times New Roman" w:eastAsia="標楷體"/>
                <w:sz w:val="28"/>
                <w:szCs w:val="28"/>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24C14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色素失調症</w:t>
            </w:r>
            <w:r>
              <w:rPr>
                <w:rFonts w:ascii="Times New Roman" w:hAnsi="Times New Roman" w:eastAsia="標楷體"/>
                <w:sz w:val="28"/>
                <w:szCs w:val="28"/>
              </w:rPr>
              <w:br w:type="textWrapping"/>
            </w:r>
            <w:r>
              <w:rPr>
                <w:rFonts w:hint="eastAsia" w:ascii="Times New Roman" w:hAnsi="Times New Roman" w:eastAsia="標楷體"/>
                <w:sz w:val="28"/>
                <w:szCs w:val="28"/>
              </w:rPr>
              <w:t xml:space="preserve">(Incontinentia </w:t>
            </w:r>
            <w:r>
              <w:rPr>
                <w:rFonts w:ascii="Times New Roman" w:hAnsi="Times New Roman" w:eastAsia="標楷體"/>
                <w:sz w:val="28"/>
                <w:szCs w:val="28"/>
              </w:rPr>
              <w:t>p</w:t>
            </w:r>
            <w:r>
              <w:rPr>
                <w:rFonts w:hint="eastAsia" w:ascii="Times New Roman" w:hAnsi="Times New Roman" w:eastAsia="標楷體"/>
                <w:sz w:val="28"/>
                <w:szCs w:val="28"/>
              </w:rPr>
              <w:t>igmenti, IP)</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617B9A6">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至少出現1項主要表徵及1項必要之次要表徵，並具</w:t>
            </w:r>
            <w:r>
              <w:rPr>
                <w:rFonts w:hint="eastAsia" w:ascii="Times New Roman" w:hAnsi="Times New Roman" w:eastAsia="標楷體"/>
                <w:i/>
                <w:iCs/>
                <w:sz w:val="28"/>
                <w:szCs w:val="28"/>
              </w:rPr>
              <w:t>IKBKG</w:t>
            </w:r>
            <w:r>
              <w:rPr>
                <w:rFonts w:hint="eastAsia" w:ascii="Times New Roman" w:hAnsi="Times New Roman" w:eastAsia="標楷體"/>
                <w:sz w:val="28"/>
                <w:szCs w:val="28"/>
              </w:rPr>
              <w:t>基因異常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73A14FC">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IKBKG</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43CECD">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4</w:t>
            </w:r>
            <w:r>
              <w:rPr>
                <w:rFonts w:hint="eastAsia" w:ascii="Times New Roman" w:hAnsi="Times New Roman" w:eastAsia="標楷體"/>
                <w:sz w:val="28"/>
                <w:szCs w:val="28"/>
              </w:rPr>
              <w:t>為必要)：</w:t>
            </w:r>
          </w:p>
          <w:p w14:paraId="766184B5">
            <w:pPr>
              <w:pStyle w:val="14"/>
              <w:widowControl/>
              <w:numPr>
                <w:ilvl w:val="0"/>
                <w:numId w:val="2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疾病的臨床症狀的病歷紀錄</w:t>
            </w:r>
          </w:p>
          <w:p w14:paraId="162D05B9">
            <w:pPr>
              <w:pStyle w:val="14"/>
              <w:widowControl/>
              <w:numPr>
                <w:ilvl w:val="0"/>
                <w:numId w:val="2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主要表徵臨床照片</w:t>
            </w:r>
          </w:p>
          <w:p w14:paraId="58414852">
            <w:pPr>
              <w:pStyle w:val="14"/>
              <w:widowControl/>
              <w:numPr>
                <w:ilvl w:val="0"/>
                <w:numId w:val="2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基因診斷報告</w:t>
            </w:r>
          </w:p>
          <w:p w14:paraId="5B8061E1">
            <w:pPr>
              <w:pStyle w:val="14"/>
              <w:widowControl/>
              <w:numPr>
                <w:ilvl w:val="0"/>
                <w:numId w:val="2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符合必要次要特徵的病歷紀錄和檢查報告</w:t>
            </w:r>
          </w:p>
          <w:p w14:paraId="6737EAC0">
            <w:pPr>
              <w:pStyle w:val="14"/>
              <w:widowControl/>
              <w:numPr>
                <w:ilvl w:val="0"/>
                <w:numId w:val="2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病理切片報告</w:t>
            </w:r>
          </w:p>
        </w:tc>
      </w:tr>
      <w:tr w14:paraId="62AB72C7">
        <w:tblPrEx>
          <w:tblCellMar>
            <w:top w:w="0" w:type="dxa"/>
            <w:left w:w="10" w:type="dxa"/>
            <w:bottom w:w="0" w:type="dxa"/>
            <w:right w:w="10" w:type="dxa"/>
          </w:tblCellMar>
        </w:tblPrEx>
        <w:trPr>
          <w:trHeight w:val="430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00089F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w:t>
            </w:r>
            <w:r>
              <w:rPr>
                <w:rFonts w:ascii="Times New Roman" w:hAnsi="Times New Roman" w:eastAsia="標楷體"/>
                <w:sz w:val="28"/>
                <w:szCs w:val="28"/>
              </w:rPr>
              <w:t>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B9B0B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三甲基巴豆醯輔酶</w:t>
            </w:r>
            <w:r>
              <w:rPr>
                <w:rFonts w:ascii="Times New Roman" w:hAnsi="Times New Roman" w:eastAsia="標楷體"/>
                <w:sz w:val="28"/>
                <w:szCs w:val="28"/>
              </w:rPr>
              <w:t>A</w:t>
            </w:r>
            <w:r>
              <w:rPr>
                <w:rFonts w:hint="eastAsia" w:ascii="Times New Roman" w:hAnsi="Times New Roman" w:eastAsia="標楷體"/>
                <w:sz w:val="28"/>
                <w:szCs w:val="28"/>
              </w:rPr>
              <w:t>羧化酵素</w:t>
            </w:r>
          </w:p>
          <w:p w14:paraId="522CCE39">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缺乏症</w:t>
            </w:r>
          </w:p>
          <w:p w14:paraId="11BDD44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3-Methylcrotonyl-CoA carboxylase deficiency</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A8528EB">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具致病基因變異，符合隱性遺傳模式，且臨床與特殊檢驗報告符合</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217F8EA6">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MCCC1/MCCC2</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5903086">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3</w:t>
            </w:r>
            <w:r>
              <w:rPr>
                <w:rFonts w:hint="eastAsia" w:ascii="Times New Roman" w:hAnsi="Times New Roman" w:eastAsia="標楷體"/>
                <w:sz w:val="28"/>
                <w:szCs w:val="28"/>
              </w:rPr>
              <w:t>為必要)：</w:t>
            </w:r>
          </w:p>
          <w:p w14:paraId="77A263B0">
            <w:pPr>
              <w:pStyle w:val="14"/>
              <w:widowControl/>
              <w:numPr>
                <w:ilvl w:val="0"/>
                <w:numId w:val="2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病歷資料(包括臨床症狀、檢驗報告、病史及家族史)</w:t>
            </w:r>
          </w:p>
          <w:p w14:paraId="2BD73D11">
            <w:pPr>
              <w:pStyle w:val="14"/>
              <w:widowControl/>
              <w:numPr>
                <w:ilvl w:val="0"/>
                <w:numId w:val="2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實驗室檢查報告(包括特殊檢驗報告)血中C5OH carnitine測定與尿液有機酸分析</w:t>
            </w:r>
          </w:p>
          <w:p w14:paraId="7B4E7ED4">
            <w:pPr>
              <w:pStyle w:val="14"/>
              <w:widowControl/>
              <w:numPr>
                <w:ilvl w:val="0"/>
                <w:numId w:val="2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0D647A10">
            <w:pPr>
              <w:widowControl/>
              <w:numPr>
                <w:ilvl w:val="0"/>
                <w:numId w:val="21"/>
              </w:num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其他檢查報告：心電圖，肌肉切片等足以佐證之資料</w:t>
            </w:r>
          </w:p>
        </w:tc>
      </w:tr>
      <w:tr w14:paraId="75C84ECD">
        <w:tblPrEx>
          <w:tblCellMar>
            <w:top w:w="0" w:type="dxa"/>
            <w:left w:w="10" w:type="dxa"/>
            <w:bottom w:w="0" w:type="dxa"/>
            <w:right w:w="10" w:type="dxa"/>
          </w:tblCellMar>
        </w:tblPrEx>
        <w:trPr>
          <w:trHeight w:val="368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65F3A9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w:t>
            </w:r>
            <w:r>
              <w:rPr>
                <w:rFonts w:ascii="Times New Roman" w:hAnsi="Times New Roman" w:eastAsia="標楷體"/>
                <w:sz w:val="28"/>
                <w:szCs w:val="28"/>
              </w:rPr>
              <w:t>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E58C90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性聯遺傳型低磷酸鹽佝僂症</w:t>
            </w:r>
            <w:r>
              <w:rPr>
                <w:rFonts w:ascii="Times New Roman" w:hAnsi="Times New Roman" w:eastAsia="標楷體"/>
                <w:sz w:val="28"/>
                <w:szCs w:val="28"/>
              </w:rPr>
              <w:br w:type="textWrapping"/>
            </w:r>
            <w:r>
              <w:rPr>
                <w:rFonts w:hint="eastAsia" w:ascii="Times New Roman" w:hAnsi="Times New Roman" w:eastAsia="標楷體"/>
                <w:sz w:val="28"/>
                <w:szCs w:val="28"/>
              </w:rPr>
              <w:t>(X-linked hypophosphatemic rickets)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F257852">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身體及骨骼系統符合主要臨床表徵、低血清磷及高尿磷流失、腎小管對磷酸鹽的吸收率異常、骨骼異常並具</w:t>
            </w:r>
            <w:r>
              <w:rPr>
                <w:rFonts w:hint="eastAsia" w:ascii="Times New Roman" w:hAnsi="Times New Roman" w:eastAsia="標楷體"/>
                <w:i/>
                <w:iCs/>
                <w:sz w:val="28"/>
                <w:szCs w:val="28"/>
              </w:rPr>
              <w:t>PHEX</w:t>
            </w:r>
            <w:r>
              <w:rPr>
                <w:rFonts w:hint="eastAsia" w:ascii="Times New Roman" w:hAnsi="Times New Roman" w:eastAsia="標楷體"/>
                <w:sz w:val="28"/>
                <w:szCs w:val="28"/>
              </w:rPr>
              <w:t>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B85CD03">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hint="eastAsia" w:ascii="Times New Roman" w:hAnsi="Times New Roman" w:eastAsia="標楷體"/>
                <w:i/>
                <w:iCs/>
                <w:sz w:val="28"/>
                <w:szCs w:val="28"/>
              </w:rPr>
              <w:t>PHEX</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716C329">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5F49B1EB">
            <w:pPr>
              <w:pStyle w:val="14"/>
              <w:widowControl/>
              <w:numPr>
                <w:ilvl w:val="0"/>
                <w:numId w:val="2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病歷資料(包括臨床病史、身體檢查、腎小管功能檢查、排除疾病之病歷資料)</w:t>
            </w:r>
          </w:p>
          <w:p w14:paraId="293B5CCA">
            <w:pPr>
              <w:pStyle w:val="14"/>
              <w:widowControl/>
              <w:numPr>
                <w:ilvl w:val="0"/>
                <w:numId w:val="2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實驗室檢查報告(包括低血清磷及高尿磷流失報告)</w:t>
            </w:r>
          </w:p>
          <w:p w14:paraId="656371BF">
            <w:pPr>
              <w:pStyle w:val="14"/>
              <w:widowControl/>
              <w:numPr>
                <w:ilvl w:val="0"/>
                <w:numId w:val="2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放射線影像檢查報告</w:t>
            </w:r>
          </w:p>
          <w:p w14:paraId="330F875A">
            <w:pPr>
              <w:pStyle w:val="14"/>
              <w:widowControl/>
              <w:numPr>
                <w:ilvl w:val="0"/>
                <w:numId w:val="2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35B9682E">
        <w:tblPrEx>
          <w:tblCellMar>
            <w:top w:w="0" w:type="dxa"/>
            <w:left w:w="10" w:type="dxa"/>
            <w:bottom w:w="0" w:type="dxa"/>
            <w:right w:w="10" w:type="dxa"/>
          </w:tblCellMar>
        </w:tblPrEx>
        <w:trPr>
          <w:trHeight w:val="362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083F6C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CB2E4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肝醣儲積症</w:t>
            </w:r>
          </w:p>
          <w:p w14:paraId="019EDDC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(Glycogen storage disease,</w:t>
            </w:r>
            <w:r>
              <w:rPr>
                <w:rFonts w:ascii="Times New Roman" w:hAnsi="Times New Roman" w:eastAsia="標楷體"/>
                <w:sz w:val="28"/>
                <w:szCs w:val="28"/>
              </w:rPr>
              <w:t xml:space="preserve"> GSD</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6AED896">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具致病基因變異、符合該疾病遺傳模式且臨床與檢驗報告符合</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CB7BC4C">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FBF91B0">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w:t>
            </w:r>
          </w:p>
          <w:p w14:paraId="2345043A">
            <w:pPr>
              <w:pStyle w:val="14"/>
              <w:widowControl/>
              <w:numPr>
                <w:ilvl w:val="0"/>
                <w:numId w:val="2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病歷資料：包括臨床症狀及生化檢驗報告之病歷資料(必要)</w:t>
            </w:r>
          </w:p>
          <w:p w14:paraId="29BFDF24">
            <w:pPr>
              <w:pStyle w:val="14"/>
              <w:widowControl/>
              <w:numPr>
                <w:ilvl w:val="0"/>
                <w:numId w:val="2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酵素檢測報告(GSD 2 (龐貝氏症)必要)</w:t>
            </w:r>
          </w:p>
          <w:p w14:paraId="40E03927">
            <w:pPr>
              <w:pStyle w:val="14"/>
              <w:widowControl/>
              <w:numPr>
                <w:ilvl w:val="0"/>
                <w:numId w:val="2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基因檢測報告(必要)</w:t>
            </w:r>
          </w:p>
          <w:p w14:paraId="74FD552C">
            <w:pPr>
              <w:pStyle w:val="14"/>
              <w:widowControl/>
              <w:numPr>
                <w:ilvl w:val="0"/>
                <w:numId w:val="2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其他檢查報告：，肝臟切片，肌肉切片等足以佐證之資料</w:t>
            </w:r>
          </w:p>
        </w:tc>
      </w:tr>
      <w:tr w14:paraId="581BD437">
        <w:tblPrEx>
          <w:tblCellMar>
            <w:top w:w="0" w:type="dxa"/>
            <w:left w:w="10" w:type="dxa"/>
            <w:bottom w:w="0" w:type="dxa"/>
            <w:right w:w="10" w:type="dxa"/>
          </w:tblCellMar>
        </w:tblPrEx>
        <w:trPr>
          <w:trHeight w:val="3061"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4DE757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54D3E6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原發性肉鹼</w:t>
            </w:r>
          </w:p>
          <w:p w14:paraId="7F5EFB8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缺乏症</w:t>
            </w:r>
          </w:p>
          <w:p w14:paraId="79E3961F">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(C</w:t>
            </w:r>
            <w:r>
              <w:rPr>
                <w:rFonts w:hint="eastAsia" w:ascii="Times New Roman" w:hAnsi="Times New Roman" w:eastAsia="標楷體"/>
                <w:sz w:val="28"/>
                <w:szCs w:val="28"/>
              </w:rPr>
              <w:t>arnitine deficiency</w:t>
            </w:r>
            <w:r>
              <w:rPr>
                <w:rFonts w:hint="eastAsia" w:ascii="Times New Roman" w:hAnsi="Times New Roman" w:eastAsia="標楷體"/>
              </w:rPr>
              <w:t xml:space="preserve"> </w:t>
            </w:r>
            <w:r>
              <w:rPr>
                <w:rFonts w:ascii="Times New Roman" w:hAnsi="Times New Roman" w:eastAsia="標楷體"/>
                <w:sz w:val="28"/>
                <w:szCs w:val="28"/>
              </w:rPr>
              <w:t>syndrome, primary</w:t>
            </w:r>
            <w:r>
              <w:rPr>
                <w:rFonts w:hint="eastAsia" w:ascii="Times New Roman" w:hAnsi="Times New Roman" w:eastAsia="標楷體"/>
                <w:sz w:val="28"/>
                <w:szCs w:val="28"/>
              </w:rPr>
              <w:t xml:space="preserve">, </w:t>
            </w:r>
            <w:r>
              <w:rPr>
                <w:rFonts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B0312AF">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明確之致病基因變異、符合自體隱性遺傳模式且臨床表現與特殊檢驗報告符合</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2FF07AF3">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w:t>
            </w:r>
            <w:r>
              <w:rPr>
                <w:rFonts w:ascii="Times New Roman" w:hAnsi="Times New Roman" w:eastAsia="標楷體"/>
                <w:i/>
                <w:iCs/>
                <w:sz w:val="28"/>
                <w:szCs w:val="28"/>
              </w:rPr>
              <w:t>SLC22A5</w:t>
            </w:r>
            <w:r>
              <w:rPr>
                <w:rFonts w:hint="eastAsia" w:ascii="Times New Roman" w:hAnsi="Times New Roman" w:eastAsia="標楷體"/>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7A978AC">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3</w:t>
            </w:r>
            <w:r>
              <w:rPr>
                <w:rFonts w:hint="eastAsia" w:ascii="Times New Roman" w:hAnsi="Times New Roman" w:eastAsia="標楷體"/>
                <w:sz w:val="28"/>
                <w:szCs w:val="28"/>
              </w:rPr>
              <w:t>為必要)：</w:t>
            </w:r>
          </w:p>
          <w:p w14:paraId="7B872164">
            <w:pPr>
              <w:pStyle w:val="14"/>
              <w:widowControl/>
              <w:numPr>
                <w:ilvl w:val="0"/>
                <w:numId w:val="2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病歷資料(含臨床病史、家族史、臨床表徵及檢驗報告)</w:t>
            </w:r>
          </w:p>
          <w:p w14:paraId="0A190167">
            <w:pPr>
              <w:pStyle w:val="14"/>
              <w:widowControl/>
              <w:numPr>
                <w:ilvl w:val="0"/>
                <w:numId w:val="2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肉鹼數值檢測報告</w:t>
            </w:r>
          </w:p>
          <w:p w14:paraId="7C577A7F">
            <w:pPr>
              <w:pStyle w:val="14"/>
              <w:widowControl/>
              <w:numPr>
                <w:ilvl w:val="0"/>
                <w:numId w:val="2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基因檢測報告 </w:t>
            </w:r>
          </w:p>
          <w:p w14:paraId="43034F2D">
            <w:pPr>
              <w:pStyle w:val="14"/>
              <w:widowControl/>
              <w:numPr>
                <w:ilvl w:val="0"/>
                <w:numId w:val="2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影像學檢查報告</w:t>
            </w:r>
          </w:p>
          <w:p w14:paraId="710140B2">
            <w:pPr>
              <w:pStyle w:val="14"/>
              <w:widowControl/>
              <w:numPr>
                <w:ilvl w:val="0"/>
                <w:numId w:val="2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其他足以佐證之資料</w:t>
            </w:r>
          </w:p>
        </w:tc>
      </w:tr>
      <w:tr w14:paraId="737C2972">
        <w:tblPrEx>
          <w:tblCellMar>
            <w:top w:w="0" w:type="dxa"/>
            <w:left w:w="10" w:type="dxa"/>
            <w:bottom w:w="0" w:type="dxa"/>
            <w:right w:w="10" w:type="dxa"/>
          </w:tblCellMar>
        </w:tblPrEx>
        <w:trPr>
          <w:trHeight w:val="319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EA91D0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8CB16E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非典型尿毒</w:t>
            </w:r>
          </w:p>
          <w:p w14:paraId="223A0D0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溶血症候群</w:t>
            </w:r>
          </w:p>
          <w:p w14:paraId="2811DA0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(Atypical </w:t>
            </w:r>
            <w:r>
              <w:rPr>
                <w:rFonts w:ascii="Times New Roman" w:hAnsi="Times New Roman" w:eastAsia="標楷體"/>
                <w:sz w:val="28"/>
                <w:szCs w:val="28"/>
              </w:rPr>
              <w:t>h</w:t>
            </w:r>
            <w:r>
              <w:rPr>
                <w:rFonts w:hint="eastAsia" w:ascii="Times New Roman" w:hAnsi="Times New Roman" w:eastAsia="標楷體"/>
                <w:sz w:val="28"/>
                <w:szCs w:val="28"/>
              </w:rPr>
              <w:t xml:space="preserve">emolytic </w:t>
            </w:r>
            <w:r>
              <w:rPr>
                <w:rFonts w:ascii="Times New Roman" w:hAnsi="Times New Roman" w:eastAsia="標楷體"/>
                <w:sz w:val="28"/>
                <w:szCs w:val="28"/>
              </w:rPr>
              <w:t>u</w:t>
            </w:r>
            <w:r>
              <w:rPr>
                <w:rFonts w:hint="eastAsia" w:ascii="Times New Roman" w:hAnsi="Times New Roman" w:eastAsia="標楷體"/>
                <w:sz w:val="28"/>
                <w:szCs w:val="28"/>
              </w:rPr>
              <w:t xml:space="preserve">remic </w:t>
            </w:r>
            <w:r>
              <w:rPr>
                <w:rFonts w:ascii="Times New Roman" w:hAnsi="Times New Roman" w:eastAsia="標楷體"/>
                <w:sz w:val="28"/>
                <w:szCs w:val="28"/>
              </w:rPr>
              <w:t>s</w:t>
            </w:r>
            <w:r>
              <w:rPr>
                <w:rFonts w:hint="eastAsia" w:ascii="Times New Roman" w:hAnsi="Times New Roman" w:eastAsia="標楷體"/>
                <w:sz w:val="28"/>
                <w:szCs w:val="28"/>
              </w:rPr>
              <w:t>yndrome, aHUS)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FE5D8EB">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明確之臨床(包括排除上述表格內其他疾病)、檢驗報告(急性溶血性貧血、急性低血小板、急性腎衰竭及血清LDH異常升高)及基因檢測確認</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FBF86D0">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1A3B26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需檢附(4項均必要)：</w:t>
            </w:r>
          </w:p>
          <w:p w14:paraId="7000E9C5">
            <w:pPr>
              <w:pStyle w:val="14"/>
              <w:widowControl/>
              <w:numPr>
                <w:ilvl w:val="0"/>
                <w:numId w:val="2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病歷資料(包括臨床病史、身體檢查、排除疾病)</w:t>
            </w:r>
          </w:p>
          <w:p w14:paraId="6E15132A">
            <w:pPr>
              <w:pStyle w:val="14"/>
              <w:widowControl/>
              <w:numPr>
                <w:ilvl w:val="0"/>
                <w:numId w:val="2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w:t>
            </w:r>
          </w:p>
          <w:p w14:paraId="398D21FA">
            <w:pPr>
              <w:pStyle w:val="14"/>
              <w:widowControl/>
              <w:numPr>
                <w:ilvl w:val="0"/>
                <w:numId w:val="2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基因檢測及末梢血液抹片圖片報告</w:t>
            </w:r>
          </w:p>
          <w:p w14:paraId="765D4710">
            <w:pPr>
              <w:pStyle w:val="14"/>
              <w:widowControl/>
              <w:numPr>
                <w:ilvl w:val="0"/>
                <w:numId w:val="2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至少一個器官被侵犯佐證資料</w:t>
            </w:r>
          </w:p>
        </w:tc>
      </w:tr>
      <w:tr w14:paraId="0A8B75F9">
        <w:tblPrEx>
          <w:tblCellMar>
            <w:top w:w="0" w:type="dxa"/>
            <w:left w:w="10" w:type="dxa"/>
            <w:bottom w:w="0" w:type="dxa"/>
            <w:right w:w="10" w:type="dxa"/>
          </w:tblCellMar>
        </w:tblPrEx>
        <w:trPr>
          <w:trHeight w:val="328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D4EE55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39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6C0F5D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家族性澱粉樣</w:t>
            </w:r>
          </w:p>
          <w:p w14:paraId="741952B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多發性神經病變</w:t>
            </w:r>
          </w:p>
          <w:p w14:paraId="43A55FED">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(Familial amyloidotic polyneuropathy, FAP)</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A5DE0DD">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符合下列三項：(1)周邊或自律神經系統症狀至少一項、(2)實驗室檢查-神經傳導/肌電圖/自律神經功能檢查報告須為異常及(3)基因異常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3E8848FD">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，需檢附TTR基因、Apolipoprotein A1基因、Gelsolin基因或</w:t>
            </w:r>
          </w:p>
          <w:p w14:paraId="0D64EF6D">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sz w:val="28"/>
                <w:szCs w:val="28"/>
              </w:rPr>
              <w:t>其他類澱粉沉積症蛋白基因檢測報告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441D015">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3</w:t>
            </w:r>
            <w:r>
              <w:rPr>
                <w:rFonts w:hint="eastAsia" w:ascii="Times New Roman" w:hAnsi="Times New Roman" w:eastAsia="標楷體"/>
                <w:sz w:val="28"/>
                <w:szCs w:val="28"/>
              </w:rPr>
              <w:t>為必要)：</w:t>
            </w:r>
          </w:p>
          <w:p w14:paraId="1BD8AB45">
            <w:pPr>
              <w:pStyle w:val="14"/>
              <w:widowControl/>
              <w:numPr>
                <w:ilvl w:val="0"/>
                <w:numId w:val="26"/>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相關臨床症狀及徵兆的病歷紀錄</w:t>
            </w:r>
          </w:p>
          <w:p w14:paraId="622F306F">
            <w:pPr>
              <w:pStyle w:val="14"/>
              <w:widowControl/>
              <w:numPr>
                <w:ilvl w:val="0"/>
                <w:numId w:val="26"/>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神經傳導/肌電圖/自律神經功能檢查</w:t>
            </w:r>
          </w:p>
          <w:p w14:paraId="4761FF45">
            <w:pPr>
              <w:pStyle w:val="14"/>
              <w:widowControl/>
              <w:numPr>
                <w:ilvl w:val="0"/>
                <w:numId w:val="26"/>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158AD7F4">
            <w:pPr>
              <w:pStyle w:val="14"/>
              <w:widowControl/>
              <w:numPr>
                <w:ilvl w:val="0"/>
                <w:numId w:val="26"/>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其它相關檢驗報告如心臟超音波、其他心臟功能或影像檢查、眼球檢查、組織切片病理報告</w:t>
            </w:r>
          </w:p>
        </w:tc>
      </w:tr>
      <w:tr w14:paraId="263EAA67">
        <w:tblPrEx>
          <w:tblCellMar>
            <w:top w:w="0" w:type="dxa"/>
            <w:left w:w="10" w:type="dxa"/>
            <w:bottom w:w="0" w:type="dxa"/>
            <w:right w:w="10" w:type="dxa"/>
          </w:tblCellMar>
        </w:tblPrEx>
        <w:trPr>
          <w:trHeight w:val="2632"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3398C2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r>
              <w:rPr>
                <w:rFonts w:ascii="Times New Roman" w:hAnsi="Times New Roman" w:eastAsia="標楷體"/>
                <w:sz w:val="28"/>
                <w:szCs w:val="28"/>
              </w:rPr>
              <w:t>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BEB06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成骨不全症</w:t>
            </w:r>
          </w:p>
          <w:p w14:paraId="71C18A1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(Osteogenesis imperfecta</w:t>
            </w:r>
            <w:r>
              <w:rPr>
                <w:rFonts w:ascii="Times New Roman" w:hAnsi="Times New Roman" w:eastAsia="標楷體"/>
                <w:sz w:val="28"/>
                <w:szCs w:val="28"/>
              </w:rPr>
              <w:t>, OI</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8DB150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明確之骨折變形等必要之臨床表徵及基因檢測確認</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7C29FCE">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079A21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4</w:t>
            </w:r>
            <w:r>
              <w:rPr>
                <w:rFonts w:hint="eastAsia" w:ascii="Times New Roman" w:hAnsi="Times New Roman" w:eastAsia="標楷體"/>
                <w:sz w:val="28"/>
                <w:szCs w:val="28"/>
              </w:rPr>
              <w:t>為必要)：</w:t>
            </w:r>
          </w:p>
          <w:p w14:paraId="554D0B2D">
            <w:pPr>
              <w:pStyle w:val="14"/>
              <w:widowControl/>
              <w:numPr>
                <w:ilvl w:val="0"/>
                <w:numId w:val="2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病歷資料(含臨床症狀及徵兆之病歷資料及家族史)</w:t>
            </w:r>
          </w:p>
          <w:p w14:paraId="07B2929F">
            <w:pPr>
              <w:pStyle w:val="14"/>
              <w:widowControl/>
              <w:numPr>
                <w:ilvl w:val="0"/>
                <w:numId w:val="2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X光影像</w:t>
            </w:r>
          </w:p>
          <w:p w14:paraId="68AF9176">
            <w:pPr>
              <w:pStyle w:val="14"/>
              <w:widowControl/>
              <w:numPr>
                <w:ilvl w:val="0"/>
                <w:numId w:val="2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326C4272">
            <w:pPr>
              <w:pStyle w:val="14"/>
              <w:widowControl/>
              <w:numPr>
                <w:ilvl w:val="0"/>
                <w:numId w:val="2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生化檢驗報告</w:t>
            </w:r>
          </w:p>
          <w:p w14:paraId="7E3DDC70">
            <w:pPr>
              <w:pStyle w:val="14"/>
              <w:widowControl/>
              <w:numPr>
                <w:ilvl w:val="0"/>
                <w:numId w:val="27"/>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骨質密度檢查</w:t>
            </w:r>
          </w:p>
        </w:tc>
      </w:tr>
      <w:tr w14:paraId="57680F15">
        <w:tblPrEx>
          <w:tblCellMar>
            <w:top w:w="0" w:type="dxa"/>
            <w:left w:w="10" w:type="dxa"/>
            <w:bottom w:w="0" w:type="dxa"/>
            <w:right w:w="10" w:type="dxa"/>
          </w:tblCellMar>
        </w:tblPrEx>
        <w:trPr>
          <w:trHeight w:val="5386"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D1BF2A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r>
              <w:rPr>
                <w:rFonts w:ascii="Times New Roman" w:hAnsi="Times New Roman" w:eastAsia="標楷體"/>
                <w:sz w:val="28"/>
                <w:szCs w:val="28"/>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439DF1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持續性幼兒型胰島素過度分泌</w:t>
            </w:r>
          </w:p>
          <w:p w14:paraId="7B2F718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低血糖症</w:t>
            </w:r>
          </w:p>
          <w:p w14:paraId="6624416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(Persistent </w:t>
            </w:r>
            <w:r>
              <w:rPr>
                <w:rFonts w:ascii="Times New Roman" w:hAnsi="Times New Roman" w:eastAsia="標楷體"/>
                <w:sz w:val="28"/>
                <w:szCs w:val="28"/>
              </w:rPr>
              <w:t>h</w:t>
            </w:r>
            <w:r>
              <w:rPr>
                <w:rFonts w:hint="eastAsia" w:ascii="Times New Roman" w:hAnsi="Times New Roman" w:eastAsia="標楷體"/>
                <w:sz w:val="28"/>
                <w:szCs w:val="28"/>
              </w:rPr>
              <w:t>yperinsulinemic hypoglycemia of infancy</w:t>
            </w:r>
            <w:r>
              <w:rPr>
                <w:rFonts w:ascii="Times New Roman" w:hAnsi="Times New Roman" w:eastAsia="標楷體"/>
                <w:sz w:val="28"/>
                <w:szCs w:val="28"/>
              </w:rPr>
              <w:t xml:space="preserve">, </w:t>
            </w:r>
            <w:r>
              <w:rPr>
                <w:rFonts w:hint="eastAsia" w:ascii="Times New Roman" w:hAnsi="Times New Roman" w:eastAsia="標楷體"/>
                <w:sz w:val="28"/>
                <w:szCs w:val="28"/>
              </w:rPr>
              <w:t>PHHI)</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7ED1C8E">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符合下列五項：(1</w:t>
            </w:r>
            <w:r>
              <w:rPr>
                <w:rFonts w:ascii="Times New Roman" w:hAnsi="Times New Roman" w:eastAsia="標楷體"/>
                <w:sz w:val="28"/>
                <w:szCs w:val="28"/>
              </w:rPr>
              <w:t>)</w:t>
            </w:r>
            <w:r>
              <w:rPr>
                <w:rFonts w:hint="eastAsia" w:ascii="Times New Roman" w:hAnsi="Times New Roman" w:eastAsia="標楷體"/>
                <w:sz w:val="28"/>
                <w:szCs w:val="28"/>
              </w:rPr>
              <w:t>持續性幼兒型胰島素過度分泌低血糖症(瀰漫性，局部性)；(</w:t>
            </w:r>
            <w:r>
              <w:rPr>
                <w:rFonts w:ascii="Times New Roman" w:hAnsi="Times New Roman" w:eastAsia="標楷體"/>
                <w:sz w:val="28"/>
                <w:szCs w:val="28"/>
              </w:rPr>
              <w:t>2)</w:t>
            </w:r>
            <w:r>
              <w:rPr>
                <w:rFonts w:hint="eastAsia" w:ascii="Times New Roman" w:hAnsi="Times New Roman" w:eastAsia="標楷體"/>
                <w:sz w:val="28"/>
                <w:szCs w:val="28"/>
              </w:rPr>
              <w:t>排除暫時性幼兒型胰島素過度分泌低血糖症；(</w:t>
            </w:r>
            <w:r>
              <w:rPr>
                <w:rFonts w:ascii="Times New Roman" w:hAnsi="Times New Roman" w:eastAsia="標楷體"/>
                <w:sz w:val="28"/>
                <w:szCs w:val="28"/>
              </w:rPr>
              <w:t>3)</w:t>
            </w:r>
            <w:r>
              <w:rPr>
                <w:rFonts w:hint="eastAsia" w:ascii="Times New Roman" w:hAnsi="Times New Roman" w:eastAsia="標楷體"/>
                <w:sz w:val="28"/>
                <w:szCs w:val="28"/>
              </w:rPr>
              <w:t>排除腫瘤引起胰島素過度分泌低血糖症；(</w:t>
            </w:r>
            <w:r>
              <w:rPr>
                <w:rFonts w:ascii="Times New Roman" w:hAnsi="Times New Roman" w:eastAsia="標楷體"/>
                <w:sz w:val="28"/>
                <w:szCs w:val="28"/>
              </w:rPr>
              <w:t>4)</w:t>
            </w:r>
            <w:r>
              <w:rPr>
                <w:rFonts w:hint="eastAsia" w:ascii="Times New Roman" w:hAnsi="Times New Roman" w:eastAsia="標楷體"/>
                <w:sz w:val="28"/>
                <w:szCs w:val="28"/>
              </w:rPr>
              <w:t>排除其他先天代謝異常疾病引起胰島素過度分泌低血糖症；(</w:t>
            </w:r>
            <w:r>
              <w:rPr>
                <w:rFonts w:ascii="Times New Roman" w:hAnsi="Times New Roman" w:eastAsia="標楷體"/>
                <w:sz w:val="28"/>
                <w:szCs w:val="28"/>
              </w:rPr>
              <w:t>5)</w:t>
            </w:r>
            <w:r>
              <w:rPr>
                <w:rFonts w:hint="eastAsia" w:ascii="Times New Roman" w:hAnsi="Times New Roman" w:eastAsia="標楷體"/>
                <w:sz w:val="28"/>
                <w:szCs w:val="28"/>
              </w:rPr>
              <w:t>排除其他特殊症候群引起胰島素過度分泌低血糖症</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E6D1FCA">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，需檢附相關致病基因檢測報告</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B698F08">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3</w:t>
            </w:r>
            <w:r>
              <w:rPr>
                <w:rFonts w:hint="eastAsia" w:ascii="Times New Roman" w:hAnsi="Times New Roman" w:eastAsia="標楷體"/>
                <w:sz w:val="28"/>
                <w:szCs w:val="28"/>
              </w:rPr>
              <w:t>及5為必要)：</w:t>
            </w:r>
          </w:p>
          <w:p w14:paraId="5BA0E91E">
            <w:pPr>
              <w:pStyle w:val="14"/>
              <w:widowControl/>
              <w:numPr>
                <w:ilvl w:val="0"/>
                <w:numId w:val="2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病歷資料(含出生史，母親疾病史，藥物史，臨床症狀及徵兆資料)</w:t>
            </w:r>
          </w:p>
          <w:p w14:paraId="471BFB1D">
            <w:pPr>
              <w:pStyle w:val="14"/>
              <w:widowControl/>
              <w:numPr>
                <w:ilvl w:val="0"/>
                <w:numId w:val="2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w:t>
            </w:r>
          </w:p>
          <w:p w14:paraId="177D71DC">
            <w:pPr>
              <w:pStyle w:val="14"/>
              <w:widowControl/>
              <w:numPr>
                <w:ilvl w:val="0"/>
                <w:numId w:val="2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4285D518">
            <w:pPr>
              <w:pStyle w:val="14"/>
              <w:widowControl/>
              <w:numPr>
                <w:ilvl w:val="0"/>
                <w:numId w:val="2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胰臟18F - FDOPA PET/C影像檢查報告 </w:t>
            </w:r>
          </w:p>
          <w:p w14:paraId="234CE132">
            <w:pPr>
              <w:pStyle w:val="14"/>
              <w:widowControl/>
              <w:numPr>
                <w:ilvl w:val="0"/>
                <w:numId w:val="28"/>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排除暫時性胰島素過度分泌低血糖症</w:t>
            </w:r>
          </w:p>
        </w:tc>
      </w:tr>
      <w:tr w14:paraId="40CC1741">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E17834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7FE37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Myhre症候群</w:t>
            </w:r>
          </w:p>
          <w:p w14:paraId="77131A4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(Myhre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2E4AC9A">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符合至少2項臉部特徵及1項其他特徵， Cardiac echo及</w:t>
            </w:r>
            <w:r>
              <w:rPr>
                <w:rFonts w:ascii="Times New Roman" w:hAnsi="Times New Roman" w:eastAsia="標楷體"/>
                <w:sz w:val="28"/>
                <w:szCs w:val="28"/>
              </w:rPr>
              <w:t>SMAD4</w:t>
            </w:r>
            <w:r>
              <w:rPr>
                <w:rFonts w:hint="eastAsia" w:ascii="Times New Roman" w:hAnsi="Times New Roman" w:eastAsia="標楷體"/>
                <w:sz w:val="28"/>
                <w:szCs w:val="28"/>
              </w:rPr>
              <w:t>基因檢測報告顯示異常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9BE6571">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SMAD4</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8465D31">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需檢附(3項均必要)：</w:t>
            </w:r>
          </w:p>
          <w:p w14:paraId="6E720307">
            <w:pPr>
              <w:pStyle w:val="14"/>
              <w:widowControl/>
              <w:numPr>
                <w:ilvl w:val="0"/>
                <w:numId w:val="2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臨床資料</w:t>
            </w:r>
          </w:p>
          <w:p w14:paraId="26EB28C4">
            <w:pPr>
              <w:pStyle w:val="14"/>
              <w:widowControl/>
              <w:numPr>
                <w:ilvl w:val="0"/>
                <w:numId w:val="2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影像檢查(Cardiac echo為必要)</w:t>
            </w:r>
          </w:p>
          <w:p w14:paraId="2687BF8C">
            <w:pPr>
              <w:pStyle w:val="14"/>
              <w:widowControl/>
              <w:numPr>
                <w:ilvl w:val="0"/>
                <w:numId w:val="29"/>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7213F539">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0A4F7B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44EBAB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萊伯氏先天性</w:t>
            </w:r>
          </w:p>
          <w:p w14:paraId="666B28D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黑矇症</w:t>
            </w:r>
          </w:p>
          <w:p w14:paraId="03BF54C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(Leber </w:t>
            </w:r>
            <w:r>
              <w:rPr>
                <w:rFonts w:ascii="Times New Roman" w:hAnsi="Times New Roman" w:eastAsia="標楷體"/>
                <w:sz w:val="28"/>
                <w:szCs w:val="28"/>
              </w:rPr>
              <w:t>c</w:t>
            </w:r>
            <w:r>
              <w:rPr>
                <w:rFonts w:hint="eastAsia" w:ascii="Times New Roman" w:hAnsi="Times New Roman" w:eastAsia="標楷體"/>
                <w:sz w:val="28"/>
                <w:szCs w:val="28"/>
              </w:rPr>
              <w:t xml:space="preserve">ongenital </w:t>
            </w:r>
            <w:r>
              <w:rPr>
                <w:rFonts w:ascii="Times New Roman" w:hAnsi="Times New Roman" w:eastAsia="標楷體"/>
                <w:sz w:val="28"/>
                <w:szCs w:val="28"/>
              </w:rPr>
              <w:t>a</w:t>
            </w:r>
            <w:r>
              <w:rPr>
                <w:rFonts w:hint="eastAsia" w:ascii="Times New Roman" w:hAnsi="Times New Roman" w:eastAsia="標楷體"/>
                <w:sz w:val="28"/>
                <w:szCs w:val="28"/>
              </w:rPr>
              <w:t>maurosis)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E23824C">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主觀臨床表徵符合至少2項嚴重標準、符合2項客觀檢查結果，並附</w:t>
            </w:r>
            <w:r>
              <w:rPr>
                <w:rFonts w:ascii="Times New Roman" w:hAnsi="Times New Roman" w:eastAsia="標楷體"/>
                <w:i/>
                <w:sz w:val="28"/>
                <w:szCs w:val="28"/>
              </w:rPr>
              <w:t>LCA</w:t>
            </w:r>
            <w:r>
              <w:rPr>
                <w:rFonts w:hint="eastAsia" w:ascii="Times New Roman" w:hAnsi="Times New Roman" w:eastAsia="標楷體"/>
                <w:sz w:val="28"/>
                <w:szCs w:val="28"/>
              </w:rPr>
              <w:t>基因檢驗報告</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34A8610">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LCA</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05CF3B">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需檢附(3項均必要)：</w:t>
            </w:r>
          </w:p>
          <w:p w14:paraId="52EBE5D8">
            <w:pPr>
              <w:pStyle w:val="14"/>
              <w:widowControl/>
              <w:numPr>
                <w:ilvl w:val="0"/>
                <w:numId w:val="3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病歷資料(臨床症狀及徵兆) </w:t>
            </w:r>
          </w:p>
          <w:p w14:paraId="3EDD8063">
            <w:pPr>
              <w:pStyle w:val="14"/>
              <w:widowControl/>
              <w:numPr>
                <w:ilvl w:val="0"/>
                <w:numId w:val="3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檢驗報告(眼底、ERG、OCT)</w:t>
            </w:r>
          </w:p>
          <w:p w14:paraId="5293258A">
            <w:pPr>
              <w:pStyle w:val="14"/>
              <w:widowControl/>
              <w:numPr>
                <w:ilvl w:val="0"/>
                <w:numId w:val="30"/>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6AC8F8A5">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2B38099">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A9DB87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MIRAGE症候群</w:t>
            </w:r>
          </w:p>
          <w:p w14:paraId="3B592ED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(MIRAGE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766F653">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符合「四項主要特徵」或符合「三項主要特徵及兩項次要特徵」，且基因檢測報告顯示異常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404C789">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SAMD9</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667B67F">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需檢附(第1及4項為必要)：</w:t>
            </w:r>
          </w:p>
          <w:p w14:paraId="03D11D5A">
            <w:pPr>
              <w:pStyle w:val="14"/>
              <w:widowControl/>
              <w:numPr>
                <w:ilvl w:val="0"/>
                <w:numId w:val="3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臨床資料 </w:t>
            </w:r>
          </w:p>
          <w:p w14:paraId="085FB8E0">
            <w:pPr>
              <w:pStyle w:val="14"/>
              <w:widowControl/>
              <w:numPr>
                <w:ilvl w:val="0"/>
                <w:numId w:val="3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常規檢驗</w:t>
            </w:r>
          </w:p>
          <w:p w14:paraId="5B441F2C">
            <w:pPr>
              <w:pStyle w:val="14"/>
              <w:widowControl/>
              <w:numPr>
                <w:ilvl w:val="0"/>
                <w:numId w:val="3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影像學檢查</w:t>
            </w:r>
          </w:p>
          <w:p w14:paraId="5F6CC4DB">
            <w:pPr>
              <w:pStyle w:val="14"/>
              <w:widowControl/>
              <w:numPr>
                <w:ilvl w:val="0"/>
                <w:numId w:val="31"/>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3B781C62">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AF7D22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873B86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亞伯氏症候群</w:t>
            </w:r>
          </w:p>
          <w:p w14:paraId="5045A73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(Alport </w:t>
            </w:r>
            <w:r>
              <w:rPr>
                <w:rFonts w:ascii="Times New Roman" w:hAnsi="Times New Roman" w:eastAsia="標楷體"/>
                <w:sz w:val="28"/>
                <w:szCs w:val="28"/>
              </w:rPr>
              <w:t>s</w:t>
            </w:r>
            <w:r>
              <w:rPr>
                <w:rFonts w:hint="eastAsia" w:ascii="Times New Roman" w:hAnsi="Times New Roman" w:eastAsia="標楷體"/>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B2BBCCC">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身體臨床檢查與系統回顧符合腎臟、聽力及眼睛相關徵狀，血液生化與尿液檢查顯示異常，且基因檢測報告顯示異常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7F6A836">
            <w:pPr>
              <w:adjustRightInd w:val="0"/>
              <w:snapToGrid w:val="0"/>
              <w:spacing w:line="320" w:lineRule="exact"/>
              <w:jc w:val="both"/>
              <w:rPr>
                <w:rFonts w:ascii="Times New Roman" w:hAnsi="Times New Roman" w:eastAsia="標楷體"/>
                <w:bCs/>
                <w:i/>
                <w:iCs/>
                <w:sz w:val="28"/>
                <w:szCs w:val="28"/>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hint="eastAsia" w:ascii="Times New Roman" w:hAnsi="Times New Roman" w:eastAsia="標楷體"/>
                <w:bCs/>
                <w:i/>
                <w:iCs/>
                <w:sz w:val="28"/>
                <w:szCs w:val="28"/>
              </w:rPr>
              <w:t>COL4A3</w:t>
            </w:r>
          </w:p>
          <w:p w14:paraId="4CA0121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Cs/>
                <w:iCs/>
                <w:sz w:val="28"/>
                <w:szCs w:val="28"/>
              </w:rPr>
              <w:t>/</w:t>
            </w:r>
            <w:r>
              <w:rPr>
                <w:rFonts w:hint="eastAsia" w:ascii="Times New Roman" w:hAnsi="Times New Roman" w:eastAsia="標楷體"/>
                <w:bCs/>
                <w:i/>
                <w:iCs/>
                <w:sz w:val="28"/>
                <w:szCs w:val="28"/>
              </w:rPr>
              <w:t>COL4A4</w:t>
            </w:r>
            <w:r>
              <w:rPr>
                <w:rFonts w:hint="eastAsia" w:ascii="Times New Roman" w:hAnsi="Times New Roman" w:eastAsia="標楷體"/>
                <w:bCs/>
                <w:sz w:val="28"/>
                <w:szCs w:val="28"/>
              </w:rPr>
              <w:t>/</w:t>
            </w:r>
            <w:r>
              <w:rPr>
                <w:rFonts w:hint="eastAsia" w:ascii="Times New Roman" w:hAnsi="Times New Roman" w:eastAsia="標楷體"/>
                <w:bCs/>
                <w:i/>
                <w:iCs/>
                <w:sz w:val="28"/>
                <w:szCs w:val="28"/>
              </w:rPr>
              <w:t>COL4A5</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3E384A1">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需檢附(第1至4及6項為必要)：</w:t>
            </w:r>
          </w:p>
          <w:p w14:paraId="3A63E0C4">
            <w:pPr>
              <w:pStyle w:val="14"/>
              <w:widowControl/>
              <w:numPr>
                <w:ilvl w:val="0"/>
                <w:numId w:val="3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病歷資料(含臨床病史、詳細家族史及系統回顧)</w:t>
            </w:r>
          </w:p>
          <w:p w14:paraId="24B29599">
            <w:pPr>
              <w:pStyle w:val="14"/>
              <w:widowControl/>
              <w:numPr>
                <w:ilvl w:val="0"/>
                <w:numId w:val="3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血液及尿液生化檢查報告</w:t>
            </w:r>
          </w:p>
          <w:p w14:paraId="7221D29D">
            <w:pPr>
              <w:pStyle w:val="14"/>
              <w:widowControl/>
              <w:numPr>
                <w:ilvl w:val="0"/>
                <w:numId w:val="3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眼科檢查報告</w:t>
            </w:r>
          </w:p>
          <w:p w14:paraId="1699CE8B">
            <w:pPr>
              <w:pStyle w:val="14"/>
              <w:widowControl/>
              <w:numPr>
                <w:ilvl w:val="0"/>
                <w:numId w:val="3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聽力檢查報告</w:t>
            </w:r>
          </w:p>
          <w:p w14:paraId="25956791">
            <w:pPr>
              <w:pStyle w:val="14"/>
              <w:widowControl/>
              <w:numPr>
                <w:ilvl w:val="0"/>
                <w:numId w:val="3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腎臟切片病理報告</w:t>
            </w:r>
          </w:p>
          <w:p w14:paraId="6FB2DA93">
            <w:pPr>
              <w:pStyle w:val="14"/>
              <w:widowControl/>
              <w:numPr>
                <w:ilvl w:val="0"/>
                <w:numId w:val="32"/>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225AA07F">
        <w:tblPrEx>
          <w:tblCellMar>
            <w:top w:w="0" w:type="dxa"/>
            <w:left w:w="10" w:type="dxa"/>
            <w:bottom w:w="0" w:type="dxa"/>
            <w:right w:w="10" w:type="dxa"/>
          </w:tblCellMar>
        </w:tblPrEx>
        <w:trPr>
          <w:trHeight w:val="277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9E5B37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r>
              <w:rPr>
                <w:rFonts w:ascii="Times New Roman" w:hAnsi="Times New Roman" w:eastAsia="標楷體"/>
                <w:sz w:val="28"/>
                <w:szCs w:val="28"/>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C23C51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克片-魯賓斯基</w:t>
            </w:r>
          </w:p>
          <w:p w14:paraId="134CAE7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症候群(Keppen-Lubinsky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FCCE98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符合臨床特徵之「二項主要條件及一項次要條件」，且基因檢測報告顯示異常</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328075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KCNJ6</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1AF1F20">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w:t>
            </w:r>
            <w:r>
              <w:rPr>
                <w:rFonts w:ascii="Times New Roman" w:hAnsi="Times New Roman" w:eastAsia="標楷體"/>
                <w:sz w:val="28"/>
                <w:szCs w:val="28"/>
              </w:rPr>
              <w:t>、2、</w:t>
            </w:r>
            <w:r>
              <w:rPr>
                <w:rFonts w:hint="eastAsia" w:ascii="Times New Roman" w:hAnsi="Times New Roman" w:eastAsia="標楷體"/>
                <w:sz w:val="28"/>
                <w:szCs w:val="28"/>
              </w:rPr>
              <w:t>5項為必要)：</w:t>
            </w:r>
          </w:p>
          <w:p w14:paraId="1649EC37">
            <w:pPr>
              <w:pStyle w:val="14"/>
              <w:widowControl/>
              <w:numPr>
                <w:ilvl w:val="0"/>
                <w:numId w:val="3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病歷資料 (包括家族史、生長曲線等) </w:t>
            </w:r>
          </w:p>
          <w:p w14:paraId="2CF7A870">
            <w:pPr>
              <w:pStyle w:val="14"/>
              <w:widowControl/>
              <w:numPr>
                <w:ilvl w:val="0"/>
                <w:numId w:val="3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智力測驗或發展評估 </w:t>
            </w:r>
          </w:p>
          <w:p w14:paraId="34059BD7">
            <w:pPr>
              <w:pStyle w:val="14"/>
              <w:widowControl/>
              <w:numPr>
                <w:ilvl w:val="0"/>
                <w:numId w:val="3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w:t>
            </w:r>
          </w:p>
          <w:p w14:paraId="56386810">
            <w:pPr>
              <w:pStyle w:val="14"/>
              <w:widowControl/>
              <w:numPr>
                <w:ilvl w:val="0"/>
                <w:numId w:val="3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影像檢查</w:t>
            </w:r>
          </w:p>
          <w:p w14:paraId="4CFD094D">
            <w:pPr>
              <w:pStyle w:val="14"/>
              <w:widowControl/>
              <w:numPr>
                <w:ilvl w:val="0"/>
                <w:numId w:val="33"/>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基因檢測報告 </w:t>
            </w:r>
          </w:p>
        </w:tc>
      </w:tr>
      <w:tr w14:paraId="4E2D541E">
        <w:tblPrEx>
          <w:tblCellMar>
            <w:top w:w="0" w:type="dxa"/>
            <w:left w:w="10" w:type="dxa"/>
            <w:bottom w:w="0" w:type="dxa"/>
            <w:right w:w="10" w:type="dxa"/>
          </w:tblCellMar>
        </w:tblPrEx>
        <w:trPr>
          <w:trHeight w:val="3061"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9CBF39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r>
              <w:rPr>
                <w:rFonts w:ascii="Times New Roman" w:hAnsi="Times New Roman" w:eastAsia="標楷體"/>
                <w:sz w:val="28"/>
                <w:szCs w:val="28"/>
              </w:rPr>
              <w:t>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04CBE5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森森布倫納</w:t>
            </w:r>
          </w:p>
          <w:p w14:paraId="1A146F1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症候群</w:t>
            </w:r>
          </w:p>
          <w:p w14:paraId="4B2E412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(Sensenbrenner </w:t>
            </w:r>
            <w:r>
              <w:rPr>
                <w:rFonts w:ascii="Times New Roman" w:hAnsi="Times New Roman" w:eastAsia="標楷體"/>
                <w:sz w:val="28"/>
                <w:szCs w:val="28"/>
              </w:rPr>
              <w:t>s</w:t>
            </w:r>
            <w:r>
              <w:rPr>
                <w:rFonts w:hint="eastAsia" w:ascii="Times New Roman" w:hAnsi="Times New Roman" w:eastAsia="標楷體"/>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8866EA0">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具臨床症狀及徵兆，影像學檢查異常及明確之致病基因變異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84EDAD2">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IFT43</w:t>
            </w:r>
            <w:r>
              <w:rPr>
                <w:rFonts w:hint="eastAsia" w:ascii="Times New Roman" w:hAnsi="Times New Roman" w:eastAsia="標楷體"/>
                <w:bCs/>
                <w:i/>
                <w:iCs/>
                <w:sz w:val="28"/>
                <w:szCs w:val="28"/>
              </w:rPr>
              <w:t>/</w:t>
            </w:r>
            <w:r>
              <w:rPr>
                <w:rFonts w:ascii="Times New Roman" w:hAnsi="Times New Roman" w:eastAsia="標楷體"/>
                <w:bCs/>
                <w:i/>
                <w:iCs/>
                <w:sz w:val="28"/>
                <w:szCs w:val="28"/>
              </w:rPr>
              <w:t>IFT122WDR19/WDR35</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42D9D4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需檢附(第1至3項為必要)：</w:t>
            </w:r>
          </w:p>
          <w:p w14:paraId="54F88C35">
            <w:pPr>
              <w:pStyle w:val="14"/>
              <w:widowControl/>
              <w:numPr>
                <w:ilvl w:val="0"/>
                <w:numId w:val="3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病歷資料(含臨床病史、家族史、臨床表徵及身體診察等)</w:t>
            </w:r>
          </w:p>
          <w:p w14:paraId="5E27A30C">
            <w:pPr>
              <w:pStyle w:val="14"/>
              <w:widowControl/>
              <w:numPr>
                <w:ilvl w:val="0"/>
                <w:numId w:val="3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影像學檢查報告：包含骨骼X光片檢查</w:t>
            </w:r>
          </w:p>
          <w:p w14:paraId="31A6DC60">
            <w:pPr>
              <w:pStyle w:val="14"/>
              <w:widowControl/>
              <w:numPr>
                <w:ilvl w:val="0"/>
                <w:numId w:val="3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6961209F">
            <w:pPr>
              <w:pStyle w:val="14"/>
              <w:widowControl/>
              <w:numPr>
                <w:ilvl w:val="0"/>
                <w:numId w:val="3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其他檢查報告</w:t>
            </w:r>
          </w:p>
        </w:tc>
      </w:tr>
      <w:tr w14:paraId="379C8B6A">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C00F35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r>
              <w:rPr>
                <w:rFonts w:ascii="Times New Roman" w:hAnsi="Times New Roman" w:eastAsia="標楷體"/>
                <w:sz w:val="28"/>
                <w:szCs w:val="28"/>
              </w:rPr>
              <w:t>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89682F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轉醛醇酶缺乏症</w:t>
            </w:r>
          </w:p>
          <w:p w14:paraId="0B852947">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(Transaldolase deficiency)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E8D5141">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具臨床症狀及徵兆，且有明確之致病基因變異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5E72D087">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TALDO1</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5B6A16F">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w:t>
            </w:r>
            <w:r>
              <w:rPr>
                <w:rFonts w:ascii="Times New Roman" w:hAnsi="Times New Roman" w:eastAsia="標楷體"/>
                <w:sz w:val="28"/>
                <w:szCs w:val="28"/>
              </w:rPr>
              <w:t>4</w:t>
            </w:r>
            <w:r>
              <w:rPr>
                <w:rFonts w:hint="eastAsia" w:ascii="Times New Roman" w:hAnsi="Times New Roman" w:eastAsia="標楷體"/>
                <w:sz w:val="28"/>
                <w:szCs w:val="28"/>
              </w:rPr>
              <w:t>項為必要)：</w:t>
            </w:r>
          </w:p>
          <w:p w14:paraId="7A5C09B8">
            <w:pPr>
              <w:pStyle w:val="14"/>
              <w:widowControl/>
              <w:numPr>
                <w:ilvl w:val="0"/>
                <w:numId w:val="3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病歷資料(含臨床病史、家族史、臨床表徵及身體診察等)</w:t>
            </w:r>
          </w:p>
          <w:p w14:paraId="37EDD559">
            <w:pPr>
              <w:pStyle w:val="14"/>
              <w:widowControl/>
              <w:numPr>
                <w:ilvl w:val="0"/>
                <w:numId w:val="3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影像學檢查報告</w:t>
            </w:r>
          </w:p>
          <w:p w14:paraId="3A1E9AC3">
            <w:pPr>
              <w:pStyle w:val="14"/>
              <w:widowControl/>
              <w:numPr>
                <w:ilvl w:val="0"/>
                <w:numId w:val="3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w:t>
            </w:r>
          </w:p>
          <w:p w14:paraId="4324061A">
            <w:pPr>
              <w:pStyle w:val="14"/>
              <w:widowControl/>
              <w:numPr>
                <w:ilvl w:val="0"/>
                <w:numId w:val="3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580AF66D">
            <w:pPr>
              <w:pStyle w:val="14"/>
              <w:widowControl/>
              <w:numPr>
                <w:ilvl w:val="0"/>
                <w:numId w:val="35"/>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酵素活性分析</w:t>
            </w:r>
          </w:p>
        </w:tc>
      </w:tr>
      <w:tr w14:paraId="52D1CBB1">
        <w:tblPrEx>
          <w:tblCellMar>
            <w:top w:w="0" w:type="dxa"/>
            <w:left w:w="10" w:type="dxa"/>
            <w:bottom w:w="0" w:type="dxa"/>
            <w:right w:w="10" w:type="dxa"/>
          </w:tblCellMar>
        </w:tblPrEx>
        <w:trPr>
          <w:trHeight w:val="5783"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B9D36D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4</w:t>
            </w:r>
            <w:r>
              <w:rPr>
                <w:rFonts w:ascii="Times New Roman" w:hAnsi="Times New Roman" w:eastAsia="標楷體"/>
                <w:sz w:val="28"/>
                <w:szCs w:val="28"/>
              </w:rPr>
              <w:t>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801CAAE">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Fabry氏症(法布瑞氏症) </w:t>
            </w:r>
          </w:p>
          <w:p w14:paraId="34FF0950">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(Fabry </w:t>
            </w:r>
            <w:r>
              <w:rPr>
                <w:rFonts w:ascii="Times New Roman" w:hAnsi="Times New Roman" w:eastAsia="標楷體"/>
                <w:sz w:val="28"/>
                <w:szCs w:val="28"/>
              </w:rPr>
              <w:t>d</w:t>
            </w:r>
            <w:r>
              <w:rPr>
                <w:rFonts w:hint="eastAsia" w:ascii="Times New Roman" w:hAnsi="Times New Roman" w:eastAsia="標楷體"/>
                <w:sz w:val="28"/>
                <w:szCs w:val="28"/>
              </w:rPr>
              <w:t>isease)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715202C">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具致病性基因變異且符合下列之一者：典型法布瑞氏症</w:t>
            </w:r>
            <w:r>
              <w:rPr>
                <w:rFonts w:ascii="Times New Roman" w:hAnsi="Times New Roman" w:eastAsia="標楷體"/>
                <w:sz w:val="28"/>
                <w:szCs w:val="28"/>
              </w:rPr>
              <w:t>、</w:t>
            </w:r>
            <w:r>
              <w:rPr>
                <w:rFonts w:hint="eastAsia" w:ascii="Times New Roman" w:hAnsi="Times New Roman" w:eastAsia="標楷體"/>
                <w:sz w:val="28"/>
                <w:szCs w:val="28"/>
              </w:rPr>
              <w:t>心臟型法布瑞氏症</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40801738">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GLA</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D079404">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需檢附(第1至5項為必要)：</w:t>
            </w:r>
          </w:p>
          <w:p w14:paraId="76C61AAB">
            <w:pPr>
              <w:pStyle w:val="14"/>
              <w:widowControl/>
              <w:numPr>
                <w:ilvl w:val="0"/>
                <w:numId w:val="3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病歷資料(含臨床症狀、皮膚徵兆，神經學症狀，腎臟徵兆，心臟功能及眼科，耳鼻喉科會診病歷資料)</w:t>
            </w:r>
          </w:p>
          <w:p w14:paraId="28F9FB52">
            <w:pPr>
              <w:pStyle w:val="14"/>
              <w:widowControl/>
              <w:numPr>
                <w:ilvl w:val="0"/>
                <w:numId w:val="3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w:t>
            </w:r>
          </w:p>
          <w:p w14:paraId="6D77F27E">
            <w:pPr>
              <w:pStyle w:val="14"/>
              <w:widowControl/>
              <w:numPr>
                <w:ilvl w:val="0"/>
                <w:numId w:val="3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影像檢查報告</w:t>
            </w:r>
          </w:p>
          <w:p w14:paraId="192B5388">
            <w:pPr>
              <w:pStyle w:val="14"/>
              <w:widowControl/>
              <w:numPr>
                <w:ilvl w:val="0"/>
                <w:numId w:val="3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酵素檢測報告</w:t>
            </w:r>
          </w:p>
          <w:p w14:paraId="2E303A9C">
            <w:pPr>
              <w:pStyle w:val="14"/>
              <w:widowControl/>
              <w:numPr>
                <w:ilvl w:val="0"/>
                <w:numId w:val="3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6A5ED301">
            <w:pPr>
              <w:pStyle w:val="14"/>
              <w:widowControl/>
              <w:numPr>
                <w:ilvl w:val="0"/>
                <w:numId w:val="36"/>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病理學檢驗報告(典型選擇，心臟型心肌切片必要)</w:t>
            </w:r>
          </w:p>
        </w:tc>
      </w:tr>
      <w:tr w14:paraId="10650B61">
        <w:tblPrEx>
          <w:tblCellMar>
            <w:top w:w="0" w:type="dxa"/>
            <w:left w:w="10" w:type="dxa"/>
            <w:bottom w:w="0" w:type="dxa"/>
            <w:right w:w="10" w:type="dxa"/>
          </w:tblCellMar>
        </w:tblPrEx>
        <w:trPr>
          <w:trHeight w:val="2381"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580289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5</w:t>
            </w:r>
            <w:r>
              <w:rPr>
                <w:rFonts w:ascii="Times New Roman" w:hAnsi="Times New Roman" w:eastAsia="標楷體"/>
                <w:sz w:val="28"/>
                <w:szCs w:val="28"/>
              </w:rPr>
              <w:t>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0A1A975">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Angelman氏</w:t>
            </w:r>
          </w:p>
          <w:p w14:paraId="44EEB25D">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症候群</w:t>
            </w:r>
          </w:p>
          <w:p w14:paraId="143D70DB">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(Angelman </w:t>
            </w:r>
            <w:r>
              <w:rPr>
                <w:rFonts w:ascii="Times New Roman" w:hAnsi="Times New Roman" w:eastAsia="標楷體"/>
                <w:sz w:val="28"/>
                <w:szCs w:val="28"/>
              </w:rPr>
              <w:t>s</w:t>
            </w:r>
            <w:r>
              <w:rPr>
                <w:rFonts w:hint="eastAsia" w:ascii="Times New Roman" w:hAnsi="Times New Roman" w:eastAsia="標楷體"/>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41F3796">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符合臨床表徵主要表徵二項及次要表徵二項，且具有致病性基因變異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CA4278C">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UBE3A</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08DE63A">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需檢附(第1至2項為必要)：</w:t>
            </w:r>
          </w:p>
          <w:p w14:paraId="2EC5F3AC">
            <w:pPr>
              <w:pStyle w:val="14"/>
              <w:widowControl/>
              <w:numPr>
                <w:ilvl w:val="0"/>
                <w:numId w:val="37"/>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病歷資料(含臨床症狀)</w:t>
            </w:r>
          </w:p>
          <w:p w14:paraId="7B21D497">
            <w:pPr>
              <w:pStyle w:val="14"/>
              <w:widowControl/>
              <w:numPr>
                <w:ilvl w:val="0"/>
                <w:numId w:val="37"/>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p w14:paraId="5BE58D27">
            <w:pPr>
              <w:pStyle w:val="14"/>
              <w:widowControl/>
              <w:numPr>
                <w:ilvl w:val="0"/>
                <w:numId w:val="37"/>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其他檢查報告:腦波圖報告等足以佐證之資料</w:t>
            </w:r>
          </w:p>
        </w:tc>
      </w:tr>
      <w:tr w14:paraId="62DCCA4B">
        <w:tblPrEx>
          <w:tblCellMar>
            <w:top w:w="0" w:type="dxa"/>
            <w:left w:w="10" w:type="dxa"/>
            <w:bottom w:w="0" w:type="dxa"/>
            <w:right w:w="10" w:type="dxa"/>
          </w:tblCellMar>
        </w:tblPrEx>
        <w:trPr>
          <w:trHeight w:val="300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F72458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5</w:t>
            </w:r>
            <w:r>
              <w:rPr>
                <w:rFonts w:ascii="Times New Roman" w:hAnsi="Times New Roman" w:eastAsia="標楷體"/>
                <w:sz w:val="28"/>
                <w:szCs w:val="28"/>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E23C36">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芳香族</w:t>
            </w:r>
            <w:r>
              <w:rPr>
                <w:rFonts w:ascii="Times New Roman" w:hAnsi="Times New Roman" w:eastAsia="標楷體"/>
                <w:sz w:val="28"/>
                <w:szCs w:val="28"/>
              </w:rPr>
              <w:t>L-</w:t>
            </w:r>
            <w:r>
              <w:rPr>
                <w:rFonts w:hint="eastAsia" w:ascii="Times New Roman" w:hAnsi="Times New Roman" w:eastAsia="標楷體"/>
                <w:sz w:val="28"/>
                <w:szCs w:val="28"/>
              </w:rPr>
              <w:t>胺基酸類脫羧基酶</w:t>
            </w:r>
          </w:p>
          <w:p w14:paraId="5B2CBA3C">
            <w:pPr>
              <w:widowControl/>
              <w:adjustRightInd w:val="0"/>
              <w:snapToGrid w:val="0"/>
              <w:spacing w:line="340" w:lineRule="exact"/>
              <w:jc w:val="center"/>
              <w:rPr>
                <w:rFonts w:ascii="Times New Roman" w:hAnsi="Times New Roman" w:eastAsia="標楷體"/>
                <w:sz w:val="28"/>
                <w:szCs w:val="28"/>
              </w:rPr>
            </w:pPr>
            <w:r>
              <w:rPr>
                <w:rFonts w:hint="eastAsia" w:ascii="Times New Roman" w:hAnsi="Times New Roman" w:eastAsia="標楷體"/>
                <w:sz w:val="28"/>
                <w:szCs w:val="28"/>
              </w:rPr>
              <w:t>缺乏症</w:t>
            </w:r>
          </w:p>
          <w:p w14:paraId="5DF168BC">
            <w:pPr>
              <w:widowControl/>
              <w:adjustRightInd w:val="0"/>
              <w:snapToGrid w:val="0"/>
              <w:spacing w:line="340" w:lineRule="exact"/>
              <w:jc w:val="center"/>
              <w:rPr>
                <w:rFonts w:ascii="Times New Roman" w:hAnsi="Times New Roman" w:eastAsia="標楷體"/>
                <w:sz w:val="28"/>
                <w:szCs w:val="28"/>
              </w:rPr>
            </w:pPr>
            <w:r>
              <w:rPr>
                <w:rFonts w:ascii="Times New Roman" w:hAnsi="Times New Roman" w:eastAsia="標楷體"/>
                <w:sz w:val="28"/>
                <w:szCs w:val="28"/>
              </w:rPr>
              <w:t>(Aromatic L-Amino acid decarboxylase deficiency, AADC deficiency)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14BE571">
            <w:pPr>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符合2項中樞神經系統必要臨床表徵及1項自主神經系統必要臨床表徵，且兩個DDC等位基因皆出現致病基因變異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27ADDE2B">
            <w:pPr>
              <w:adjustRightInd w:val="0"/>
              <w:snapToGrid w:val="0"/>
              <w:spacing w:line="34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bCs/>
                <w:sz w:val="28"/>
                <w:szCs w:val="28"/>
              </w:rPr>
              <w:t>，需檢附</w:t>
            </w:r>
            <w:r>
              <w:rPr>
                <w:rFonts w:ascii="Times New Roman" w:hAnsi="Times New Roman" w:eastAsia="標楷體"/>
                <w:bCs/>
                <w:i/>
                <w:iCs/>
                <w:sz w:val="28"/>
                <w:szCs w:val="28"/>
              </w:rPr>
              <w:t>DDC</w:t>
            </w:r>
            <w:r>
              <w:rPr>
                <w:rFonts w:hint="eastAsia" w:ascii="Times New Roman" w:hAnsi="Times New Roman" w:eastAsia="標楷體"/>
                <w:bCs/>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430E15A">
            <w:pPr>
              <w:widowControl/>
              <w:adjustRightInd w:val="0"/>
              <w:snapToGrid w:val="0"/>
              <w:spacing w:line="340" w:lineRule="exact"/>
              <w:jc w:val="both"/>
              <w:rPr>
                <w:rFonts w:ascii="Times New Roman" w:hAnsi="Times New Roman" w:eastAsia="標楷體"/>
                <w:sz w:val="28"/>
                <w:szCs w:val="28"/>
              </w:rPr>
            </w:pPr>
            <w:r>
              <w:rPr>
                <w:rFonts w:hint="eastAsia" w:ascii="Times New Roman" w:hAnsi="Times New Roman" w:eastAsia="標楷體"/>
                <w:sz w:val="28"/>
                <w:szCs w:val="28"/>
              </w:rPr>
              <w:t>需檢附(第1</w:t>
            </w:r>
            <w:r>
              <w:rPr>
                <w:rFonts w:ascii="Times New Roman" w:hAnsi="Times New Roman" w:eastAsia="標楷體"/>
                <w:sz w:val="28"/>
                <w:szCs w:val="28"/>
              </w:rPr>
              <w:t>、3、4</w:t>
            </w:r>
            <w:r>
              <w:rPr>
                <w:rFonts w:hint="eastAsia" w:ascii="Times New Roman" w:hAnsi="Times New Roman" w:eastAsia="標楷體"/>
                <w:sz w:val="28"/>
                <w:szCs w:val="28"/>
              </w:rPr>
              <w:t>項為必要)：</w:t>
            </w:r>
          </w:p>
          <w:p w14:paraId="72420957">
            <w:pPr>
              <w:pStyle w:val="14"/>
              <w:widowControl/>
              <w:numPr>
                <w:ilvl w:val="0"/>
                <w:numId w:val="38"/>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病歷資料(含臨床病史、身體診察、神經學檢查及發展里程碑等)</w:t>
            </w:r>
          </w:p>
          <w:p w14:paraId="6A6D5207">
            <w:pPr>
              <w:pStyle w:val="14"/>
              <w:widowControl/>
              <w:numPr>
                <w:ilvl w:val="0"/>
                <w:numId w:val="38"/>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實驗室檢查報告</w:t>
            </w:r>
          </w:p>
          <w:p w14:paraId="7EF0C775">
            <w:pPr>
              <w:pStyle w:val="14"/>
              <w:widowControl/>
              <w:numPr>
                <w:ilvl w:val="0"/>
                <w:numId w:val="38"/>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腦部核磁照影檢查報告 </w:t>
            </w:r>
          </w:p>
          <w:p w14:paraId="7620C970">
            <w:pPr>
              <w:pStyle w:val="14"/>
              <w:widowControl/>
              <w:numPr>
                <w:ilvl w:val="0"/>
                <w:numId w:val="38"/>
              </w:numPr>
              <w:adjustRightInd w:val="0"/>
              <w:snapToGrid w:val="0"/>
              <w:spacing w:line="34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5D361554">
        <w:tblPrEx>
          <w:tblCellMar>
            <w:top w:w="0" w:type="dxa"/>
            <w:left w:w="10" w:type="dxa"/>
            <w:bottom w:w="0" w:type="dxa"/>
            <w:right w:w="10" w:type="dxa"/>
          </w:tblCellMar>
        </w:tblPrEx>
        <w:trPr>
          <w:trHeight w:val="1587"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B497BC8">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D1E8E02">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Cornelia de Lange氏症候群</w:t>
            </w:r>
          </w:p>
          <w:p w14:paraId="783AC135">
            <w:pPr>
              <w:widowControl/>
              <w:adjustRightInd w:val="0"/>
              <w:snapToGrid w:val="0"/>
              <w:spacing w:line="340" w:lineRule="exact"/>
              <w:jc w:val="center"/>
              <w:rPr>
                <w:rFonts w:ascii="Times New Roman" w:hAnsi="Times New Roman" w:eastAsia="標楷體"/>
                <w:color w:val="000000"/>
                <w:sz w:val="28"/>
                <w:szCs w:val="28"/>
              </w:rPr>
            </w:pPr>
            <w:r>
              <w:rPr>
                <w:rFonts w:ascii="Times New Roman" w:hAnsi="Times New Roman" w:eastAsia="標楷體"/>
                <w:color w:val="000000"/>
                <w:sz w:val="28"/>
                <w:szCs w:val="28"/>
              </w:rPr>
              <w:t>(Cornelia de Lange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131055">
            <w:p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主要特徵及次要特徵總分數</w:t>
            </w:r>
            <w:r>
              <w:rPr>
                <w:rFonts w:ascii="Times New Roman" w:hAnsi="Times New Roman" w:eastAsia="標楷體"/>
                <w:color w:val="000000"/>
                <w:sz w:val="28"/>
                <w:szCs w:val="28"/>
              </w:rPr>
              <w:t>≥9</w:t>
            </w:r>
            <w:r>
              <w:rPr>
                <w:rFonts w:hint="eastAsia" w:ascii="Times New Roman" w:hAnsi="Times New Roman" w:eastAsia="標楷體"/>
                <w:color w:val="000000"/>
                <w:sz w:val="28"/>
                <w:szCs w:val="28"/>
              </w:rPr>
              <w:t>，且具有致病性基因變異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53664CF1">
            <w:pPr>
              <w:adjustRightInd w:val="0"/>
              <w:snapToGrid w:val="0"/>
              <w:spacing w:line="34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6A29F02">
            <w:pPr>
              <w:widowControl/>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需檢附(2項均必要)</w:t>
            </w:r>
          </w:p>
          <w:p w14:paraId="77BACC6A">
            <w:pPr>
              <w:pStyle w:val="14"/>
              <w:widowControl/>
              <w:numPr>
                <w:ilvl w:val="0"/>
                <w:numId w:val="39"/>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臨床資料：包含臨床病史(含臨床表徵、家族史) </w:t>
            </w:r>
          </w:p>
          <w:p w14:paraId="544103A8">
            <w:pPr>
              <w:pStyle w:val="14"/>
              <w:widowControl/>
              <w:numPr>
                <w:ilvl w:val="0"/>
                <w:numId w:val="39"/>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0FC7B9E9">
        <w:tblPrEx>
          <w:tblCellMar>
            <w:top w:w="0" w:type="dxa"/>
            <w:left w:w="10" w:type="dxa"/>
            <w:bottom w:w="0" w:type="dxa"/>
            <w:right w:w="10" w:type="dxa"/>
          </w:tblCellMar>
        </w:tblPrEx>
        <w:trPr>
          <w:trHeight w:val="192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EDD146C">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C1E618D">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Kabuki症候群</w:t>
            </w:r>
          </w:p>
          <w:p w14:paraId="02657C6F">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Kabuki syndrome</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A6351EB">
            <w:p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符合臨床必要表徵及具致病性基因變異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F4A6291">
            <w:pPr>
              <w:adjustRightInd w:val="0"/>
              <w:snapToGrid w:val="0"/>
              <w:spacing w:line="34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w:t>
            </w:r>
            <w:r>
              <w:rPr>
                <w:rFonts w:hint="eastAsia" w:ascii="Times New Roman" w:hAnsi="Times New Roman" w:eastAsia="標楷體"/>
                <w:bCs/>
                <w:color w:val="000000"/>
                <w:sz w:val="28"/>
                <w:szCs w:val="28"/>
              </w:rPr>
              <w:t>需檢附</w:t>
            </w:r>
            <w:r>
              <w:rPr>
                <w:rFonts w:ascii="Times New Roman" w:hAnsi="Times New Roman" w:eastAsia="標楷體"/>
                <w:bCs/>
                <w:i/>
                <w:iCs/>
                <w:color w:val="000000"/>
                <w:sz w:val="28"/>
                <w:szCs w:val="28"/>
              </w:rPr>
              <w:t>KMT2D</w:t>
            </w:r>
            <w:r>
              <w:rPr>
                <w:rFonts w:hint="eastAsia" w:ascii="Times New Roman" w:hAnsi="Times New Roman" w:eastAsia="標楷體"/>
                <w:bCs/>
                <w:i/>
                <w:iCs/>
                <w:color w:val="000000"/>
                <w:sz w:val="28"/>
                <w:szCs w:val="28"/>
              </w:rPr>
              <w:t>、</w:t>
            </w:r>
            <w:r>
              <w:rPr>
                <w:rFonts w:ascii="Times New Roman" w:hAnsi="Times New Roman" w:eastAsia="標楷體"/>
                <w:bCs/>
                <w:i/>
                <w:iCs/>
                <w:color w:val="000000"/>
                <w:sz w:val="28"/>
                <w:szCs w:val="28"/>
              </w:rPr>
              <w:t>KDM6A</w:t>
            </w:r>
            <w:r>
              <w:rPr>
                <w:rFonts w:hint="eastAsia" w:ascii="Times New Roman" w:hAnsi="Times New Roman" w:eastAsia="標楷體"/>
                <w:bCs/>
                <w:iCs/>
                <w:color w:val="000000"/>
                <w:sz w:val="28"/>
                <w:szCs w:val="28"/>
              </w:rPr>
              <w:t>或其他致病</w:t>
            </w:r>
            <w:r>
              <w:rPr>
                <w:rFonts w:hint="eastAsia" w:ascii="Times New Roman" w:hAnsi="Times New Roman" w:eastAsia="標楷體"/>
                <w:bCs/>
                <w:color w:val="000000"/>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3B41602">
            <w:pPr>
              <w:widowControl/>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需檢附(第1至2項為必要)：</w:t>
            </w:r>
          </w:p>
          <w:p w14:paraId="2EBCFDF1">
            <w:pPr>
              <w:pStyle w:val="14"/>
              <w:widowControl/>
              <w:numPr>
                <w:ilvl w:val="0"/>
                <w:numId w:val="4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病歷資料(含臨床症狀)</w:t>
            </w:r>
          </w:p>
          <w:p w14:paraId="2366D304">
            <w:pPr>
              <w:pStyle w:val="14"/>
              <w:widowControl/>
              <w:numPr>
                <w:ilvl w:val="0"/>
                <w:numId w:val="4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3ABA1516">
            <w:pPr>
              <w:pStyle w:val="14"/>
              <w:widowControl/>
              <w:numPr>
                <w:ilvl w:val="0"/>
                <w:numId w:val="4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臉部照片</w:t>
            </w:r>
          </w:p>
        </w:tc>
      </w:tr>
      <w:tr w14:paraId="0E79D81F">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C33D165">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49E9BD8">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DiGeorge症候群</w:t>
            </w:r>
          </w:p>
          <w:p w14:paraId="6AF500E8">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(DiGeorge</w:t>
            </w:r>
            <w:r>
              <w:rPr>
                <w:rFonts w:ascii="Times New Roman" w:hAnsi="Times New Roman" w:eastAsia="標楷體"/>
                <w:color w:val="000000"/>
                <w:sz w:val="28"/>
                <w:szCs w:val="28"/>
              </w:rPr>
              <w:t xml:space="preserve"> s</w:t>
            </w:r>
            <w:r>
              <w:rPr>
                <w:rFonts w:hint="eastAsia" w:ascii="Times New Roman" w:hAnsi="Times New Roman" w:eastAsia="標楷體"/>
                <w:color w:val="000000"/>
                <w:sz w:val="28"/>
                <w:szCs w:val="28"/>
              </w:rPr>
              <w:t>y</w:t>
            </w:r>
            <w:r>
              <w:rPr>
                <w:rFonts w:ascii="Times New Roman" w:hAnsi="Times New Roman" w:eastAsia="標楷體"/>
                <w:color w:val="000000"/>
                <w:sz w:val="28"/>
                <w:szCs w:val="28"/>
              </w:rPr>
              <w:t>ndrome</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430AFCD">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符合主要臨床症狀及徵兆至少二項，且具有致病性基因變異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AD53E7C">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w:t>
            </w:r>
            <w:r>
              <w:rPr>
                <w:rFonts w:hint="eastAsia" w:ascii="Times New Roman" w:hAnsi="Times New Roman" w:eastAsia="標楷體"/>
                <w:bCs/>
                <w:color w:val="000000"/>
                <w:sz w:val="28"/>
                <w:szCs w:val="28"/>
              </w:rPr>
              <w:t>需檢附</w:t>
            </w:r>
            <w:r>
              <w:rPr>
                <w:rFonts w:hint="eastAsia" w:ascii="Times New Roman" w:hAnsi="Times New Roman" w:eastAsia="標楷體"/>
                <w:bCs/>
                <w:i/>
                <w:iCs/>
                <w:color w:val="000000"/>
                <w:sz w:val="28"/>
                <w:szCs w:val="28"/>
              </w:rPr>
              <w:t>22q11.2</w:t>
            </w:r>
            <w:r>
              <w:rPr>
                <w:rFonts w:hint="eastAsia" w:ascii="Times New Roman" w:hAnsi="Times New Roman" w:eastAsia="標楷體"/>
                <w:bCs/>
                <w:iCs/>
                <w:color w:val="000000"/>
                <w:sz w:val="28"/>
                <w:szCs w:val="28"/>
              </w:rPr>
              <w:t>或其他與DiGeorge syndrome相關染色體或基因缺失的檢驗報告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1CB1449">
            <w:pPr>
              <w:widowControl/>
              <w:adjustRightInd w:val="0"/>
              <w:snapToGrid w:val="0"/>
              <w:spacing w:line="30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需檢附(第1至5項為必要)：</w:t>
            </w:r>
          </w:p>
          <w:p w14:paraId="36D5E41A">
            <w:pPr>
              <w:pStyle w:val="14"/>
              <w:widowControl/>
              <w:numPr>
                <w:ilvl w:val="0"/>
                <w:numId w:val="41"/>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病歷資料:包含臨床症狀及徵兆、身體及發展遲緩之評估病歷資料及家族史</w:t>
            </w:r>
          </w:p>
          <w:p w14:paraId="469C7A09">
            <w:pPr>
              <w:pStyle w:val="14"/>
              <w:widowControl/>
              <w:numPr>
                <w:ilvl w:val="0"/>
                <w:numId w:val="41"/>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實驗室檢查報告：包含血清鈣離子濃度、血液iPTH </w:t>
            </w:r>
          </w:p>
          <w:p w14:paraId="7C0274C5">
            <w:pPr>
              <w:pStyle w:val="14"/>
              <w:widowControl/>
              <w:numPr>
                <w:ilvl w:val="0"/>
                <w:numId w:val="41"/>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心臟超音波或其他心臟影像報告</w:t>
            </w:r>
          </w:p>
          <w:p w14:paraId="0546B10A">
            <w:pPr>
              <w:pStyle w:val="14"/>
              <w:widowControl/>
              <w:numPr>
                <w:ilvl w:val="0"/>
                <w:numId w:val="41"/>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耳鼻喉科就診及聽力檢驗報告</w:t>
            </w:r>
          </w:p>
          <w:p w14:paraId="04028FB3">
            <w:pPr>
              <w:pStyle w:val="14"/>
              <w:widowControl/>
              <w:numPr>
                <w:ilvl w:val="0"/>
                <w:numId w:val="41"/>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22q11.2或其他與DiGeorge syndrome相關染色體或基因缺失的檢驗報告</w:t>
            </w:r>
          </w:p>
          <w:p w14:paraId="714F68F1">
            <w:pPr>
              <w:pStyle w:val="14"/>
              <w:widowControl/>
              <w:numPr>
                <w:ilvl w:val="0"/>
                <w:numId w:val="41"/>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周邊血液T細胞數量分析[Flow cytometry]</w:t>
            </w:r>
          </w:p>
        </w:tc>
      </w:tr>
      <w:tr w14:paraId="3D599766">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364C665">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C1C062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Beckwith Wiedemann氏</w:t>
            </w:r>
          </w:p>
          <w:p w14:paraId="5A25E55B">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症候群</w:t>
            </w:r>
          </w:p>
          <w:p w14:paraId="7ADCBB6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Beckwith Wiedemann syndrome, BWS</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0D8AF4">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明確之致病基因變異，且至少符合一項主要臨床表徵或至少符合兩項臨床次要表徵</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F9858ED">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w:t>
            </w:r>
            <w:r>
              <w:rPr>
                <w:rFonts w:hint="eastAsia" w:ascii="Times New Roman" w:hAnsi="Times New Roman" w:eastAsia="標楷體"/>
                <w:color w:val="000000"/>
                <w:sz w:val="28"/>
                <w:szCs w:val="28"/>
              </w:rPr>
              <w:tab/>
            </w:r>
            <w:r>
              <w:rPr>
                <w:rFonts w:hint="eastAsia" w:ascii="Times New Roman" w:hAnsi="Times New Roman" w:eastAsia="標楷體"/>
                <w:color w:val="000000"/>
                <w:sz w:val="28"/>
                <w:szCs w:val="28"/>
              </w:rPr>
              <w:t>母源染色體IC2 失去甲基化</w:t>
            </w:r>
          </w:p>
          <w:p w14:paraId="12987556">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、母源染色體 IC1增加甲基化、母源 CDKN1C突變、11p15.5 父源單親源二倍體或11號染色體異常</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DDA1F35">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需檢附(第1至2項為必要)：</w:t>
            </w:r>
          </w:p>
          <w:p w14:paraId="33EC3296">
            <w:pPr>
              <w:pStyle w:val="14"/>
              <w:widowControl/>
              <w:numPr>
                <w:ilvl w:val="0"/>
                <w:numId w:val="4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病歷資料，包含臨床病史、身體診察等 </w:t>
            </w:r>
          </w:p>
          <w:p w14:paraId="075D6190">
            <w:pPr>
              <w:pStyle w:val="14"/>
              <w:widowControl/>
              <w:numPr>
                <w:ilvl w:val="0"/>
                <w:numId w:val="4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24748637">
            <w:pPr>
              <w:pStyle w:val="14"/>
              <w:widowControl/>
              <w:numPr>
                <w:ilvl w:val="0"/>
                <w:numId w:val="4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檢驗報告</w:t>
            </w:r>
          </w:p>
          <w:p w14:paraId="254DA899">
            <w:pPr>
              <w:pStyle w:val="14"/>
              <w:widowControl/>
              <w:numPr>
                <w:ilvl w:val="0"/>
                <w:numId w:val="4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影像報告 </w:t>
            </w:r>
          </w:p>
          <w:p w14:paraId="2F49CD66">
            <w:pPr>
              <w:pStyle w:val="14"/>
              <w:widowControl/>
              <w:numPr>
                <w:ilvl w:val="0"/>
                <w:numId w:val="4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病理報告 </w:t>
            </w:r>
          </w:p>
        </w:tc>
      </w:tr>
      <w:tr w14:paraId="70B4014C">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111F9A0">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28B3EC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CHARGE症候群</w:t>
            </w:r>
          </w:p>
          <w:p w14:paraId="19A2333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CHARGE syndrome</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E9462E7">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符合3大項主要臨床表徵、或2大項主要臨床表徵加1大項次要臨床表徵、或1大項主要臨床表徵加3大項次要臨床表徵；且</w:t>
            </w:r>
            <w:r>
              <w:rPr>
                <w:rFonts w:hint="eastAsia" w:ascii="Times New Roman" w:hAnsi="Times New Roman" w:eastAsia="標楷體"/>
                <w:i/>
                <w:color w:val="000000"/>
                <w:sz w:val="28"/>
                <w:szCs w:val="28"/>
              </w:rPr>
              <w:t>CHD7</w:t>
            </w:r>
            <w:r>
              <w:rPr>
                <w:rFonts w:hint="eastAsia" w:ascii="Times New Roman" w:hAnsi="Times New Roman" w:eastAsia="標楷體"/>
                <w:color w:val="000000"/>
                <w:sz w:val="28"/>
                <w:szCs w:val="28"/>
              </w:rPr>
              <w:t>或</w:t>
            </w:r>
            <w:r>
              <w:rPr>
                <w:rFonts w:hint="eastAsia" w:ascii="Times New Roman" w:hAnsi="Times New Roman" w:eastAsia="標楷體"/>
                <w:i/>
                <w:color w:val="000000"/>
                <w:sz w:val="28"/>
                <w:szCs w:val="28"/>
              </w:rPr>
              <w:t>SEMA3E</w:t>
            </w:r>
            <w:r>
              <w:rPr>
                <w:rFonts w:hint="eastAsia" w:ascii="Times New Roman" w:hAnsi="Times New Roman" w:eastAsia="標楷體"/>
                <w:color w:val="000000"/>
                <w:sz w:val="28"/>
                <w:szCs w:val="28"/>
              </w:rPr>
              <w:t>基因具異型合子致病基因變異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DA33D84">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w:t>
            </w:r>
            <w:r>
              <w:rPr>
                <w:rFonts w:hint="eastAsia" w:ascii="Times New Roman" w:hAnsi="Times New Roman" w:eastAsia="標楷體"/>
                <w:bCs/>
                <w:color w:val="000000"/>
                <w:sz w:val="28"/>
                <w:szCs w:val="28"/>
              </w:rPr>
              <w:t>需檢附</w:t>
            </w:r>
            <w:r>
              <w:rPr>
                <w:rFonts w:ascii="Times New Roman" w:hAnsi="Times New Roman" w:eastAsia="標楷體"/>
                <w:bCs/>
                <w:i/>
                <w:iCs/>
                <w:color w:val="000000"/>
                <w:sz w:val="28"/>
                <w:szCs w:val="28"/>
              </w:rPr>
              <w:t>CHD7</w:t>
            </w:r>
            <w:r>
              <w:rPr>
                <w:rFonts w:hint="eastAsia" w:ascii="Times New Roman" w:hAnsi="Times New Roman" w:eastAsia="標楷體"/>
                <w:bCs/>
                <w:i/>
                <w:iCs/>
                <w:color w:val="000000"/>
                <w:sz w:val="28"/>
                <w:szCs w:val="28"/>
              </w:rPr>
              <w:t>、</w:t>
            </w:r>
            <w:r>
              <w:rPr>
                <w:rFonts w:ascii="Times New Roman" w:hAnsi="Times New Roman" w:eastAsia="標楷體"/>
                <w:bCs/>
                <w:i/>
                <w:iCs/>
                <w:color w:val="000000"/>
                <w:sz w:val="28"/>
                <w:szCs w:val="28"/>
              </w:rPr>
              <w:t>SEMA3E</w:t>
            </w:r>
            <w:r>
              <w:rPr>
                <w:rFonts w:hint="eastAsia" w:ascii="Times New Roman" w:hAnsi="Times New Roman" w:eastAsia="標楷體"/>
                <w:bCs/>
                <w:iCs/>
                <w:color w:val="000000"/>
                <w:sz w:val="28"/>
                <w:szCs w:val="28"/>
              </w:rPr>
              <w:t>或其他致病</w:t>
            </w:r>
            <w:r>
              <w:rPr>
                <w:rFonts w:hint="eastAsia" w:ascii="Times New Roman" w:hAnsi="Times New Roman" w:eastAsia="標楷體"/>
                <w:bCs/>
                <w:color w:val="000000"/>
                <w:sz w:val="28"/>
                <w:szCs w:val="28"/>
              </w:rPr>
              <w:t>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A7BC5B3">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需檢附(第1及4項為必要)：</w:t>
            </w:r>
          </w:p>
          <w:p w14:paraId="195C2837">
            <w:pPr>
              <w:pStyle w:val="14"/>
              <w:widowControl/>
              <w:numPr>
                <w:ilvl w:val="0"/>
                <w:numId w:val="4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病歷資料，包含臨床病史、身體診察、神經學檢查、發展里程碑及眼科/耳鼻喉科/代謝科就診紀錄等</w:t>
            </w:r>
          </w:p>
          <w:p w14:paraId="7F7F84B1">
            <w:pPr>
              <w:pStyle w:val="14"/>
              <w:widowControl/>
              <w:numPr>
                <w:ilvl w:val="0"/>
                <w:numId w:val="4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w:t>
            </w:r>
          </w:p>
          <w:p w14:paraId="5A127BC7">
            <w:pPr>
              <w:pStyle w:val="14"/>
              <w:widowControl/>
              <w:numPr>
                <w:ilvl w:val="0"/>
                <w:numId w:val="4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腦部核磁照影及顳骨核磁照影/電腦斷層檢查報告</w:t>
            </w:r>
          </w:p>
          <w:p w14:paraId="12235657">
            <w:pPr>
              <w:pStyle w:val="14"/>
              <w:widowControl/>
              <w:numPr>
                <w:ilvl w:val="0"/>
                <w:numId w:val="4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17BB4633">
        <w:tblPrEx>
          <w:tblCellMar>
            <w:top w:w="0" w:type="dxa"/>
            <w:left w:w="10" w:type="dxa"/>
            <w:bottom w:w="0" w:type="dxa"/>
            <w:right w:w="10" w:type="dxa"/>
          </w:tblCellMar>
        </w:tblPrEx>
        <w:trPr>
          <w:trHeight w:val="4422"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4A2BB91">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391B19E">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先天性肌失養症</w:t>
            </w:r>
          </w:p>
          <w:p w14:paraId="3202865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Congenital muscular dystrophy, CMD</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5E96BB6">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明確之致病基因變異，且臨床表現、身體及神經學檢查、腦部核磁共振檢查及遺傳模式具臨床型-基因型吻合</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6D5FB5D">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18D4E2">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需檢附(第1至4項為必要)：</w:t>
            </w:r>
          </w:p>
          <w:p w14:paraId="05ABC17D">
            <w:pPr>
              <w:pStyle w:val="14"/>
              <w:widowControl/>
              <w:numPr>
                <w:ilvl w:val="0"/>
                <w:numId w:val="44"/>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病歷資料：包含臨床病史、家族史、身體診察、神經學檢查及發展里程碑等病歷資料</w:t>
            </w:r>
          </w:p>
          <w:p w14:paraId="292A94A7">
            <w:pPr>
              <w:pStyle w:val="14"/>
              <w:widowControl/>
              <w:numPr>
                <w:ilvl w:val="0"/>
                <w:numId w:val="44"/>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實驗室檢查報告，包含 Creatine kinase</w:t>
            </w:r>
          </w:p>
          <w:p w14:paraId="6195A601">
            <w:pPr>
              <w:pStyle w:val="14"/>
              <w:widowControl/>
              <w:numPr>
                <w:ilvl w:val="0"/>
                <w:numId w:val="44"/>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腦部核磁照影檢查</w:t>
            </w:r>
          </w:p>
          <w:p w14:paraId="450E5E50">
            <w:pPr>
              <w:pStyle w:val="14"/>
              <w:widowControl/>
              <w:numPr>
                <w:ilvl w:val="0"/>
                <w:numId w:val="44"/>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5344F6C2">
            <w:pPr>
              <w:pStyle w:val="14"/>
              <w:widowControl/>
              <w:numPr>
                <w:ilvl w:val="0"/>
                <w:numId w:val="44"/>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電氣生理學檢查、肌肉切片檢查、肌肉影像學檢查、心臟超音波檢查 </w:t>
            </w:r>
          </w:p>
        </w:tc>
      </w:tr>
      <w:tr w14:paraId="4DF0A45F">
        <w:tblPrEx>
          <w:tblCellMar>
            <w:top w:w="0" w:type="dxa"/>
            <w:left w:w="10" w:type="dxa"/>
            <w:bottom w:w="0" w:type="dxa"/>
            <w:right w:w="10" w:type="dxa"/>
          </w:tblCellMar>
        </w:tblPrEx>
        <w:trPr>
          <w:trHeight w:val="4562"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680BE37">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40DF37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腎上腺腦白質</w:t>
            </w:r>
          </w:p>
          <w:p w14:paraId="7642BC07">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失養症(</w:t>
            </w:r>
            <w:r>
              <w:rPr>
                <w:rFonts w:ascii="Times New Roman" w:hAnsi="Times New Roman" w:eastAsia="標楷體"/>
                <w:color w:val="000000"/>
                <w:sz w:val="28"/>
                <w:szCs w:val="28"/>
              </w:rPr>
              <w:t>Adrenoleukodystrophy, ALD</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9344C87">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具臨床表徵與異常檢驗結果，上列生化檢驗數值、腦部核磁照影、神經傳導檢查報告等三項 至少一項出現異常結果，且</w:t>
            </w:r>
            <w:r>
              <w:rPr>
                <w:rFonts w:hint="eastAsia" w:ascii="Times New Roman" w:hAnsi="Times New Roman" w:eastAsia="標楷體"/>
                <w:i/>
                <w:color w:val="000000"/>
                <w:sz w:val="28"/>
                <w:szCs w:val="28"/>
              </w:rPr>
              <w:t>ABCD1</w:t>
            </w:r>
            <w:r>
              <w:rPr>
                <w:rFonts w:hint="eastAsia" w:ascii="Times New Roman" w:hAnsi="Times New Roman" w:eastAsia="標楷體"/>
                <w:color w:val="000000"/>
                <w:sz w:val="28"/>
                <w:szCs w:val="28"/>
              </w:rPr>
              <w:t>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668DE23">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01ED1BC">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需檢附(第1至4項及第6項為必要)：</w:t>
            </w:r>
          </w:p>
          <w:p w14:paraId="1960FE27">
            <w:pPr>
              <w:pStyle w:val="14"/>
              <w:widowControl/>
              <w:numPr>
                <w:ilvl w:val="0"/>
                <w:numId w:val="4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病歷資料，包含臨床病史、身體診察、神經學檢查及發展里程碑等</w:t>
            </w:r>
          </w:p>
          <w:p w14:paraId="3902E460">
            <w:pPr>
              <w:pStyle w:val="14"/>
              <w:widowControl/>
              <w:numPr>
                <w:ilvl w:val="0"/>
                <w:numId w:val="4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非常長鏈脂肪酸代謝異常檢測報告</w:t>
            </w:r>
          </w:p>
          <w:p w14:paraId="3F001848">
            <w:pPr>
              <w:pStyle w:val="14"/>
              <w:widowControl/>
              <w:numPr>
                <w:ilvl w:val="0"/>
                <w:numId w:val="4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腦部核磁照影檢查報告 </w:t>
            </w:r>
          </w:p>
          <w:p w14:paraId="01B06118">
            <w:pPr>
              <w:pStyle w:val="14"/>
              <w:widowControl/>
              <w:numPr>
                <w:ilvl w:val="0"/>
                <w:numId w:val="4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生化檢驗數值報告</w:t>
            </w:r>
          </w:p>
          <w:p w14:paraId="66898E83">
            <w:pPr>
              <w:pStyle w:val="14"/>
              <w:widowControl/>
              <w:numPr>
                <w:ilvl w:val="0"/>
                <w:numId w:val="4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神經傳導檢查報告(脊髓性神經病變型為必要，其他型為選擇)</w:t>
            </w:r>
          </w:p>
          <w:p w14:paraId="462D2BA8">
            <w:pPr>
              <w:pStyle w:val="14"/>
              <w:widowControl/>
              <w:numPr>
                <w:ilvl w:val="0"/>
                <w:numId w:val="4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6F0B2AF1">
        <w:tblPrEx>
          <w:tblCellMar>
            <w:top w:w="0" w:type="dxa"/>
            <w:left w:w="10" w:type="dxa"/>
            <w:bottom w:w="0" w:type="dxa"/>
            <w:right w:w="10" w:type="dxa"/>
          </w:tblCellMar>
        </w:tblPrEx>
        <w:trPr>
          <w:trHeight w:val="250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3DEB046">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59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CA2E999">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Beta螺旋狀蛋白關聯之神經退化疾病</w:t>
            </w:r>
          </w:p>
          <w:p w14:paraId="311D2627">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Beta-Propeller protein-associated neurodegeneration, BPAN</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64D6CE6">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符合臨床必要表徵及腦部核磁共振影像異常病灶，且</w:t>
            </w:r>
            <w:r>
              <w:rPr>
                <w:rFonts w:hint="eastAsia" w:ascii="Times New Roman" w:hAnsi="Times New Roman" w:eastAsia="標楷體"/>
                <w:i/>
                <w:color w:val="000000"/>
                <w:sz w:val="28"/>
                <w:szCs w:val="28"/>
              </w:rPr>
              <w:t>WDR45</w:t>
            </w:r>
            <w:r>
              <w:rPr>
                <w:rFonts w:hint="eastAsia" w:ascii="Times New Roman" w:hAnsi="Times New Roman" w:eastAsia="標楷體"/>
                <w:color w:val="000000"/>
                <w:sz w:val="28"/>
                <w:szCs w:val="28"/>
              </w:rPr>
              <w:t>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23579F61">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38A0E52">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需檢附(3項均必要)：</w:t>
            </w:r>
          </w:p>
          <w:p w14:paraId="125467F0">
            <w:pPr>
              <w:pStyle w:val="14"/>
              <w:widowControl/>
              <w:numPr>
                <w:ilvl w:val="0"/>
                <w:numId w:val="46"/>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病歷資料，包含臨床病史、身體診察、神經學檢查及發展里程碑等</w:t>
            </w:r>
          </w:p>
          <w:p w14:paraId="4B241750">
            <w:pPr>
              <w:pStyle w:val="14"/>
              <w:widowControl/>
              <w:numPr>
                <w:ilvl w:val="0"/>
                <w:numId w:val="46"/>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腦部核磁照影檢查報告 </w:t>
            </w:r>
          </w:p>
          <w:p w14:paraId="429F2996">
            <w:pPr>
              <w:pStyle w:val="14"/>
              <w:widowControl/>
              <w:numPr>
                <w:ilvl w:val="0"/>
                <w:numId w:val="46"/>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 影像報告</w:t>
            </w:r>
          </w:p>
        </w:tc>
      </w:tr>
      <w:tr w14:paraId="394D3505">
        <w:tblPrEx>
          <w:tblCellMar>
            <w:top w:w="0" w:type="dxa"/>
            <w:left w:w="10" w:type="dxa"/>
            <w:bottom w:w="0" w:type="dxa"/>
            <w:right w:w="10" w:type="dxa"/>
          </w:tblCellMar>
        </w:tblPrEx>
        <w:trPr>
          <w:trHeight w:val="3236"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A7B5C6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993E6C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瓦登伯格氏</w:t>
            </w:r>
          </w:p>
          <w:p w14:paraId="0A085B1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症候群</w:t>
            </w:r>
          </w:p>
          <w:p w14:paraId="7D9A9D06">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(Waardenburg </w:t>
            </w:r>
            <w:r>
              <w:rPr>
                <w:rFonts w:ascii="Times New Roman" w:hAnsi="Times New Roman" w:eastAsia="標楷體"/>
                <w:color w:val="000000"/>
                <w:sz w:val="28"/>
                <w:szCs w:val="28"/>
              </w:rPr>
              <w:t>s</w:t>
            </w:r>
            <w:r>
              <w:rPr>
                <w:rFonts w:hint="eastAsia" w:ascii="Times New Roman" w:hAnsi="Times New Roman" w:eastAsia="標楷體"/>
                <w:color w:val="000000"/>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F86E711">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符合臨床必要表徵，且具致病基因變異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55B42A0">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917F0F4">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需檢附(5項均必要)：</w:t>
            </w:r>
          </w:p>
          <w:p w14:paraId="2683B202">
            <w:pPr>
              <w:pStyle w:val="14"/>
              <w:widowControl/>
              <w:numPr>
                <w:ilvl w:val="0"/>
                <w:numId w:val="4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病歷資料：包括臨床症狀及徵兆之病歷資料及家族史</w:t>
            </w:r>
          </w:p>
          <w:p w14:paraId="2550C9D3">
            <w:pPr>
              <w:pStyle w:val="14"/>
              <w:widowControl/>
              <w:numPr>
                <w:ilvl w:val="0"/>
                <w:numId w:val="4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聽力檢查報告</w:t>
            </w:r>
          </w:p>
          <w:p w14:paraId="275B67FD">
            <w:pPr>
              <w:pStyle w:val="14"/>
              <w:widowControl/>
              <w:numPr>
                <w:ilvl w:val="0"/>
                <w:numId w:val="4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眼睛檢查報告</w:t>
            </w:r>
          </w:p>
          <w:p w14:paraId="78B1218F">
            <w:pPr>
              <w:pStyle w:val="14"/>
              <w:widowControl/>
              <w:numPr>
                <w:ilvl w:val="0"/>
                <w:numId w:val="4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3E61642F">
            <w:pPr>
              <w:pStyle w:val="14"/>
              <w:widowControl/>
              <w:numPr>
                <w:ilvl w:val="0"/>
                <w:numId w:val="4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外觀、皮膚或是眼睛照片</w:t>
            </w:r>
          </w:p>
        </w:tc>
      </w:tr>
      <w:tr w14:paraId="0D3DEF67">
        <w:tblPrEx>
          <w:tblCellMar>
            <w:top w:w="0" w:type="dxa"/>
            <w:left w:w="10" w:type="dxa"/>
            <w:bottom w:w="0" w:type="dxa"/>
            <w:right w:w="10" w:type="dxa"/>
          </w:tblCellMar>
        </w:tblPrEx>
        <w:trPr>
          <w:trHeight w:val="291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1F7C167">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8C37C48">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面肩胛肱肌</w:t>
            </w:r>
          </w:p>
          <w:p w14:paraId="69B00A32">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失養症</w:t>
            </w:r>
          </w:p>
          <w:p w14:paraId="7E83DDA0">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(Facioscapulohumeral </w:t>
            </w:r>
            <w:r>
              <w:rPr>
                <w:rFonts w:ascii="Times New Roman" w:hAnsi="Times New Roman" w:eastAsia="標楷體"/>
                <w:color w:val="000000"/>
                <w:sz w:val="28"/>
                <w:szCs w:val="28"/>
              </w:rPr>
              <w:t>m</w:t>
            </w:r>
            <w:r>
              <w:rPr>
                <w:rFonts w:hint="eastAsia" w:ascii="Times New Roman" w:hAnsi="Times New Roman" w:eastAsia="標楷體"/>
                <w:color w:val="000000"/>
                <w:sz w:val="28"/>
                <w:szCs w:val="28"/>
              </w:rPr>
              <w:t xml:space="preserve">uscular </w:t>
            </w:r>
            <w:r>
              <w:rPr>
                <w:rFonts w:ascii="Times New Roman" w:hAnsi="Times New Roman" w:eastAsia="標楷體"/>
                <w:color w:val="000000"/>
                <w:sz w:val="28"/>
                <w:szCs w:val="28"/>
              </w:rPr>
              <w:t>d</w:t>
            </w:r>
            <w:r>
              <w:rPr>
                <w:rFonts w:hint="eastAsia" w:ascii="Times New Roman" w:hAnsi="Times New Roman" w:eastAsia="標楷體"/>
                <w:color w:val="000000"/>
                <w:sz w:val="28"/>
                <w:szCs w:val="28"/>
              </w:rPr>
              <w:t>ystrophy,</w:t>
            </w:r>
            <w:r>
              <w:rPr>
                <w:rFonts w:ascii="Times New Roman" w:hAnsi="Times New Roman" w:eastAsia="標楷體"/>
                <w:color w:val="000000"/>
                <w:sz w:val="28"/>
                <w:szCs w:val="28"/>
              </w:rPr>
              <w:t xml:space="preserve"> </w:t>
            </w:r>
            <w:r>
              <w:rPr>
                <w:rFonts w:hint="eastAsia" w:ascii="Times New Roman" w:hAnsi="Times New Roman" w:eastAsia="標楷體"/>
                <w:color w:val="000000"/>
                <w:sz w:val="28"/>
                <w:szCs w:val="28"/>
              </w:rPr>
              <w:t>FSHD)</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3DA2C8D">
            <w:p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符合臨床必要表徵及，且具致病基因變異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3EBE695">
            <w:pPr>
              <w:adjustRightInd w:val="0"/>
              <w:snapToGrid w:val="0"/>
              <w:spacing w:line="34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BF98EF1">
            <w:pPr>
              <w:widowControl/>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需檢附(除肌肉病理報告外，其餘均必要)：</w:t>
            </w:r>
          </w:p>
          <w:p w14:paraId="7FED587D">
            <w:pPr>
              <w:pStyle w:val="14"/>
              <w:widowControl/>
              <w:numPr>
                <w:ilvl w:val="0"/>
                <w:numId w:val="48"/>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臨床症狀及徵兆的病歷紀錄</w:t>
            </w:r>
          </w:p>
          <w:p w14:paraId="4F68A24E">
            <w:pPr>
              <w:pStyle w:val="14"/>
              <w:widowControl/>
              <w:numPr>
                <w:ilvl w:val="0"/>
                <w:numId w:val="48"/>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實驗室檢查報告：CK值；肌電圖/神經傳導報告；肌肉病理報告</w:t>
            </w:r>
          </w:p>
          <w:p w14:paraId="7C275D94">
            <w:pPr>
              <w:pStyle w:val="14"/>
              <w:widowControl/>
              <w:numPr>
                <w:ilvl w:val="0"/>
                <w:numId w:val="48"/>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681AC666">
        <w:tblPrEx>
          <w:tblCellMar>
            <w:top w:w="0" w:type="dxa"/>
            <w:left w:w="10" w:type="dxa"/>
            <w:bottom w:w="0" w:type="dxa"/>
            <w:right w:w="10" w:type="dxa"/>
          </w:tblCellMar>
        </w:tblPrEx>
        <w:trPr>
          <w:trHeight w:val="1464"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C1606FB">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39AD4C">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Prader-Willi氏</w:t>
            </w:r>
          </w:p>
          <w:p w14:paraId="57AE2D19">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症候群</w:t>
            </w:r>
          </w:p>
          <w:p w14:paraId="14168661">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(Prader-Willi </w:t>
            </w:r>
            <w:r>
              <w:rPr>
                <w:rFonts w:ascii="Times New Roman" w:hAnsi="Times New Roman" w:eastAsia="標楷體"/>
                <w:color w:val="000000"/>
                <w:sz w:val="28"/>
                <w:szCs w:val="28"/>
              </w:rPr>
              <w:t>s</w:t>
            </w:r>
            <w:r>
              <w:rPr>
                <w:rFonts w:hint="eastAsia" w:ascii="Times New Roman" w:hAnsi="Times New Roman" w:eastAsia="標楷體"/>
                <w:color w:val="000000"/>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F2DFDBF">
            <w:p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符合臨床必要表徵、甲基化檢查異常，且具致病基因變異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26C5F4D">
            <w:pPr>
              <w:adjustRightInd w:val="0"/>
              <w:snapToGrid w:val="0"/>
              <w:spacing w:line="34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29101C8">
            <w:pPr>
              <w:widowControl/>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需檢附(2項均必要)：</w:t>
            </w:r>
          </w:p>
          <w:p w14:paraId="3FFE5CAD">
            <w:pPr>
              <w:pStyle w:val="14"/>
              <w:widowControl/>
              <w:numPr>
                <w:ilvl w:val="0"/>
                <w:numId w:val="49"/>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病歷資料：包括臨床主要、次要條件</w:t>
            </w:r>
          </w:p>
          <w:p w14:paraId="1C363EFA">
            <w:pPr>
              <w:pStyle w:val="14"/>
              <w:widowControl/>
              <w:numPr>
                <w:ilvl w:val="0"/>
                <w:numId w:val="49"/>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684BED1F">
        <w:tblPrEx>
          <w:tblCellMar>
            <w:top w:w="0" w:type="dxa"/>
            <w:left w:w="10" w:type="dxa"/>
            <w:bottom w:w="0" w:type="dxa"/>
            <w:right w:w="10" w:type="dxa"/>
          </w:tblCellMar>
        </w:tblPrEx>
        <w:trPr>
          <w:trHeight w:val="250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63A1F21">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EC91A4A">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嬰兒型上行性遺傳性痙攣性麻痺 </w:t>
            </w:r>
          </w:p>
          <w:p w14:paraId="640278E6">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Infantile-onset</w:t>
            </w:r>
            <w:r>
              <w:rPr>
                <w:rFonts w:hint="eastAsia" w:ascii="Times New Roman" w:hAnsi="Times New Roman" w:eastAsia="標楷體"/>
                <w:color w:val="000000"/>
                <w:sz w:val="28"/>
                <w:szCs w:val="28"/>
              </w:rPr>
              <w:t xml:space="preserve"> </w:t>
            </w:r>
            <w:r>
              <w:rPr>
                <w:rFonts w:ascii="Times New Roman" w:hAnsi="Times New Roman" w:eastAsia="標楷體"/>
                <w:color w:val="000000"/>
                <w:sz w:val="28"/>
                <w:szCs w:val="28"/>
              </w:rPr>
              <w:t>ascending</w:t>
            </w:r>
            <w:r>
              <w:rPr>
                <w:rFonts w:hint="eastAsia" w:ascii="Times New Roman" w:hAnsi="Times New Roman" w:eastAsia="標楷體"/>
                <w:color w:val="000000"/>
                <w:sz w:val="28"/>
                <w:szCs w:val="28"/>
              </w:rPr>
              <w:t xml:space="preserve"> </w:t>
            </w:r>
            <w:r>
              <w:rPr>
                <w:rFonts w:ascii="Times New Roman" w:hAnsi="Times New Roman" w:eastAsia="標楷體"/>
                <w:color w:val="000000"/>
                <w:sz w:val="28"/>
                <w:szCs w:val="28"/>
              </w:rPr>
              <w:t>hereditary</w:t>
            </w:r>
            <w:r>
              <w:rPr>
                <w:rFonts w:hint="eastAsia" w:ascii="Times New Roman" w:hAnsi="Times New Roman" w:eastAsia="標楷體"/>
                <w:color w:val="000000"/>
                <w:sz w:val="28"/>
                <w:szCs w:val="28"/>
              </w:rPr>
              <w:t xml:space="preserve"> </w:t>
            </w:r>
            <w:r>
              <w:rPr>
                <w:rFonts w:ascii="Times New Roman" w:hAnsi="Times New Roman" w:eastAsia="標楷體"/>
                <w:color w:val="000000"/>
                <w:sz w:val="28"/>
                <w:szCs w:val="28"/>
              </w:rPr>
              <w:t>spastic</w:t>
            </w:r>
            <w:r>
              <w:rPr>
                <w:rFonts w:hint="eastAsia" w:ascii="Times New Roman" w:hAnsi="Times New Roman" w:eastAsia="標楷體"/>
                <w:color w:val="000000"/>
                <w:sz w:val="28"/>
                <w:szCs w:val="28"/>
              </w:rPr>
              <w:t xml:space="preserve"> </w:t>
            </w:r>
            <w:r>
              <w:rPr>
                <w:rFonts w:ascii="Times New Roman" w:hAnsi="Times New Roman" w:eastAsia="標楷體"/>
                <w:color w:val="000000"/>
                <w:sz w:val="28"/>
                <w:szCs w:val="28"/>
              </w:rPr>
              <w:t>paralysis</w:t>
            </w:r>
            <w:r>
              <w:rPr>
                <w:rFonts w:hint="eastAsia" w:ascii="Times New Roman" w:hAnsi="Times New Roman" w:eastAsia="標楷體"/>
                <w:color w:val="000000"/>
                <w:sz w:val="28"/>
                <w:szCs w:val="28"/>
              </w:rPr>
              <w:t>,</w:t>
            </w:r>
            <w:r>
              <w:rPr>
                <w:rFonts w:ascii="Times New Roman" w:hAnsi="Times New Roman" w:eastAsia="標楷體"/>
                <w:color w:val="000000"/>
                <w:sz w:val="28"/>
                <w:szCs w:val="28"/>
              </w:rPr>
              <w:t xml:space="preserve"> IAHSP</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DE4FE99">
            <w:p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符合與年齡相對應之臨床必要表徵，且ALS2具致病基因變異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50814C3">
            <w:pPr>
              <w:adjustRightInd w:val="0"/>
              <w:snapToGrid w:val="0"/>
              <w:spacing w:line="34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2116D3D">
            <w:pPr>
              <w:widowControl/>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需檢附(4項均必要)：</w:t>
            </w:r>
          </w:p>
          <w:p w14:paraId="71985BF4">
            <w:pPr>
              <w:pStyle w:val="14"/>
              <w:widowControl/>
              <w:numPr>
                <w:ilvl w:val="0"/>
                <w:numId w:val="5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病歷資料，包含臨床病史、身體診察、神經學檢查及發展里程碑等</w:t>
            </w:r>
          </w:p>
          <w:p w14:paraId="7D0C9294">
            <w:pPr>
              <w:pStyle w:val="14"/>
              <w:widowControl/>
              <w:numPr>
                <w:ilvl w:val="0"/>
                <w:numId w:val="5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神經電氣生理檢查報告 </w:t>
            </w:r>
          </w:p>
          <w:p w14:paraId="6660411B">
            <w:pPr>
              <w:pStyle w:val="14"/>
              <w:widowControl/>
              <w:numPr>
                <w:ilvl w:val="0"/>
                <w:numId w:val="5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腦部核磁照影檢查報告 </w:t>
            </w:r>
          </w:p>
          <w:p w14:paraId="15AEA711">
            <w:pPr>
              <w:pStyle w:val="14"/>
              <w:widowControl/>
              <w:numPr>
                <w:ilvl w:val="0"/>
                <w:numId w:val="50"/>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1C499807">
        <w:tblPrEx>
          <w:tblCellMar>
            <w:top w:w="0" w:type="dxa"/>
            <w:left w:w="10" w:type="dxa"/>
            <w:bottom w:w="0" w:type="dxa"/>
            <w:right w:w="10" w:type="dxa"/>
          </w:tblCellMar>
        </w:tblPrEx>
        <w:trPr>
          <w:trHeight w:val="777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3D4B61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7675082">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大腦肌酸缺乏症</w:t>
            </w:r>
          </w:p>
          <w:p w14:paraId="5259BB63">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(Cerebral </w:t>
            </w:r>
            <w:r>
              <w:rPr>
                <w:rFonts w:ascii="Times New Roman" w:hAnsi="Times New Roman" w:eastAsia="標楷體"/>
                <w:color w:val="000000"/>
                <w:sz w:val="28"/>
                <w:szCs w:val="28"/>
              </w:rPr>
              <w:t>c</w:t>
            </w:r>
            <w:r>
              <w:rPr>
                <w:rFonts w:hint="eastAsia" w:ascii="Times New Roman" w:hAnsi="Times New Roman" w:eastAsia="標楷體"/>
                <w:color w:val="000000"/>
                <w:sz w:val="28"/>
                <w:szCs w:val="28"/>
              </w:rPr>
              <w:t xml:space="preserve">reatine </w:t>
            </w:r>
            <w:r>
              <w:rPr>
                <w:rFonts w:ascii="Times New Roman" w:hAnsi="Times New Roman" w:eastAsia="標楷體"/>
                <w:color w:val="000000"/>
                <w:sz w:val="28"/>
                <w:szCs w:val="28"/>
              </w:rPr>
              <w:t>d</w:t>
            </w:r>
            <w:r>
              <w:rPr>
                <w:rFonts w:hint="eastAsia" w:ascii="Times New Roman" w:hAnsi="Times New Roman" w:eastAsia="標楷體"/>
                <w:color w:val="000000"/>
                <w:sz w:val="28"/>
                <w:szCs w:val="28"/>
              </w:rPr>
              <w:t>eficiency)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7769F8D">
            <w:p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符合下列任一項</w:t>
            </w:r>
          </w:p>
          <w:p w14:paraId="7CD3D536">
            <w:pPr>
              <w:numPr>
                <w:ilvl w:val="0"/>
                <w:numId w:val="51"/>
              </w:num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兩個</w:t>
            </w:r>
            <w:r>
              <w:rPr>
                <w:rFonts w:hint="eastAsia" w:ascii="Times New Roman" w:hAnsi="Times New Roman" w:eastAsia="標楷體"/>
                <w:i/>
                <w:iCs/>
                <w:color w:val="000000"/>
                <w:sz w:val="28"/>
                <w:szCs w:val="28"/>
              </w:rPr>
              <w:t>GAMT</w:t>
            </w:r>
            <w:r>
              <w:rPr>
                <w:rFonts w:hint="eastAsia" w:ascii="Times New Roman" w:hAnsi="Times New Roman" w:eastAsia="標楷體"/>
                <w:color w:val="000000"/>
                <w:sz w:val="28"/>
                <w:szCs w:val="28"/>
              </w:rPr>
              <w:t xml:space="preserve">等位基因出現致病性基因變異， 且符合必要臨床表徵及核磁共振頻譜顯示肌酸訊號低下 </w:t>
            </w:r>
          </w:p>
          <w:p w14:paraId="65A77585">
            <w:pPr>
              <w:numPr>
                <w:ilvl w:val="0"/>
                <w:numId w:val="51"/>
              </w:num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兩個</w:t>
            </w:r>
            <w:r>
              <w:rPr>
                <w:rFonts w:hint="eastAsia" w:ascii="Times New Roman" w:hAnsi="Times New Roman" w:eastAsia="標楷體"/>
                <w:i/>
                <w:iCs/>
                <w:color w:val="000000"/>
                <w:sz w:val="28"/>
                <w:szCs w:val="28"/>
              </w:rPr>
              <w:t>AGAT</w:t>
            </w:r>
            <w:r>
              <w:rPr>
                <w:rFonts w:hint="eastAsia" w:ascii="Times New Roman" w:hAnsi="Times New Roman" w:eastAsia="標楷體"/>
                <w:color w:val="000000"/>
                <w:sz w:val="28"/>
                <w:szCs w:val="28"/>
              </w:rPr>
              <w:t xml:space="preserve">等位基因出現致病性基因變異， 且符合必要臨床表徵及核磁共振頻譜顯示肌酸訊號低下 </w:t>
            </w:r>
          </w:p>
          <w:p w14:paraId="645467B9">
            <w:pPr>
              <w:numPr>
                <w:ilvl w:val="0"/>
                <w:numId w:val="51"/>
              </w:numPr>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一個</w:t>
            </w:r>
            <w:r>
              <w:rPr>
                <w:rFonts w:hint="eastAsia" w:ascii="Times New Roman" w:hAnsi="Times New Roman" w:eastAsia="標楷體"/>
                <w:i/>
                <w:iCs/>
                <w:color w:val="000000"/>
                <w:sz w:val="28"/>
                <w:szCs w:val="28"/>
              </w:rPr>
              <w:t>SLC6A8</w:t>
            </w:r>
            <w:r>
              <w:rPr>
                <w:rFonts w:hint="eastAsia" w:ascii="Times New Roman" w:hAnsi="Times New Roman" w:eastAsia="標楷體"/>
                <w:color w:val="000000"/>
                <w:sz w:val="28"/>
                <w:szCs w:val="28"/>
              </w:rPr>
              <w:t>基因出現致病性基因變異， 且符合必要臨床表徵及核磁共振頻譜顯示肌酸訊號低下</w:t>
            </w:r>
          </w:p>
        </w:tc>
        <w:tc>
          <w:tcPr>
            <w:tcW w:w="801" w:type="pct"/>
            <w:tcBorders>
              <w:top w:val="single" w:color="000000" w:sz="4" w:space="0"/>
              <w:left w:val="single" w:color="000000" w:sz="4" w:space="0"/>
              <w:bottom w:val="single" w:color="000000" w:sz="4" w:space="0"/>
              <w:right w:val="single" w:color="000000" w:sz="4" w:space="0"/>
            </w:tcBorders>
          </w:tcPr>
          <w:p w14:paraId="151C2071">
            <w:pPr>
              <w:adjustRightInd w:val="0"/>
              <w:snapToGrid w:val="0"/>
              <w:spacing w:line="34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31548AB">
            <w:pPr>
              <w:widowControl/>
              <w:adjustRightInd w:val="0"/>
              <w:snapToGrid w:val="0"/>
              <w:spacing w:line="34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1291BC1D">
            <w:pPr>
              <w:pStyle w:val="14"/>
              <w:widowControl/>
              <w:numPr>
                <w:ilvl w:val="0"/>
                <w:numId w:val="52"/>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病歷資料：包含臨床病史、身體及神經學檢查及詳細家族史之病歷資料</w:t>
            </w:r>
          </w:p>
          <w:p w14:paraId="7BEA5EE7">
            <w:pPr>
              <w:pStyle w:val="14"/>
              <w:widowControl/>
              <w:numPr>
                <w:ilvl w:val="0"/>
                <w:numId w:val="52"/>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6947B0DD">
            <w:pPr>
              <w:pStyle w:val="14"/>
              <w:widowControl/>
              <w:numPr>
                <w:ilvl w:val="0"/>
                <w:numId w:val="52"/>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7E58EC51">
            <w:pPr>
              <w:pStyle w:val="14"/>
              <w:widowControl/>
              <w:numPr>
                <w:ilvl w:val="0"/>
                <w:numId w:val="52"/>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346EDE0E">
            <w:pPr>
              <w:pStyle w:val="14"/>
              <w:widowControl/>
              <w:numPr>
                <w:ilvl w:val="0"/>
                <w:numId w:val="52"/>
              </w:numPr>
              <w:adjustRightInd w:val="0"/>
              <w:snapToGrid w:val="0"/>
              <w:spacing w:line="34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tc>
      </w:tr>
      <w:tr w14:paraId="2BAE6053">
        <w:tblPrEx>
          <w:tblCellMar>
            <w:top w:w="0" w:type="dxa"/>
            <w:left w:w="10" w:type="dxa"/>
            <w:bottom w:w="0" w:type="dxa"/>
            <w:right w:w="10" w:type="dxa"/>
          </w:tblCellMar>
        </w:tblPrEx>
        <w:trPr>
          <w:trHeight w:val="1116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E5A0F5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00AA144">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硫胺素(維生素B1)代謝功能障礙症候群</w:t>
            </w:r>
          </w:p>
          <w:p w14:paraId="62D99DCB">
            <w:pPr>
              <w:widowControl/>
              <w:adjustRightInd w:val="0"/>
              <w:snapToGrid w:val="0"/>
              <w:spacing w:line="34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Thiamine metabolism dysfunction syndromes</w:t>
            </w:r>
            <w:r>
              <w:rPr>
                <w:rFonts w:hint="eastAsia" w:ascii="Times New Roman" w:hAnsi="Times New Roman" w:eastAsia="標楷體"/>
                <w:color w:val="000000"/>
                <w:sz w:val="28"/>
                <w:szCs w:val="28"/>
              </w:rPr>
              <w:t>,</w:t>
            </w:r>
            <w:r>
              <w:rPr>
                <w:rFonts w:ascii="Times New Roman" w:hAnsi="Times New Roman" w:eastAsia="標楷體"/>
                <w:color w:val="000000"/>
                <w:sz w:val="28"/>
                <w:szCs w:val="28"/>
              </w:rPr>
              <w:t xml:space="preserve"> THMD</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1876AC2">
            <w:pPr>
              <w:numPr>
                <w:ilvl w:val="2"/>
                <w:numId w:val="3"/>
              </w:numPr>
              <w:adjustRightInd w:val="0"/>
              <w:snapToGrid w:val="0"/>
              <w:spacing w:line="280" w:lineRule="exact"/>
              <w:ind w:left="357"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THMD1：符合三項臨床必要表徵及實驗室檢查結果，且兩個</w:t>
            </w:r>
            <w:r>
              <w:rPr>
                <w:rFonts w:hint="eastAsia" w:ascii="Times New Roman" w:hAnsi="Times New Roman" w:eastAsia="標楷體"/>
                <w:i/>
                <w:iCs/>
                <w:color w:val="000000"/>
                <w:sz w:val="28"/>
                <w:szCs w:val="28"/>
              </w:rPr>
              <w:t>SLC19A2</w:t>
            </w:r>
            <w:r>
              <w:rPr>
                <w:rFonts w:hint="eastAsia" w:ascii="Times New Roman" w:hAnsi="Times New Roman" w:eastAsia="標楷體"/>
                <w:color w:val="000000"/>
                <w:sz w:val="28"/>
                <w:szCs w:val="28"/>
              </w:rPr>
              <w:t>等位基因皆出現致病基因變異</w:t>
            </w:r>
          </w:p>
          <w:p w14:paraId="53177189">
            <w:pPr>
              <w:numPr>
                <w:ilvl w:val="2"/>
                <w:numId w:val="3"/>
              </w:numPr>
              <w:adjustRightInd w:val="0"/>
              <w:snapToGrid w:val="0"/>
              <w:spacing w:line="280" w:lineRule="exact"/>
              <w:ind w:left="357"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THMD2：符合三項臨床必要表徵及對應之腦部核磁共振影像異常病灶，且兩個</w:t>
            </w:r>
            <w:r>
              <w:rPr>
                <w:rFonts w:hint="eastAsia" w:ascii="Times New Roman" w:hAnsi="Times New Roman" w:eastAsia="標楷體"/>
                <w:i/>
                <w:iCs/>
                <w:color w:val="000000"/>
                <w:sz w:val="28"/>
                <w:szCs w:val="28"/>
              </w:rPr>
              <w:t>SLC19A3</w:t>
            </w:r>
            <w:r>
              <w:rPr>
                <w:rFonts w:hint="eastAsia" w:ascii="Times New Roman" w:hAnsi="Times New Roman" w:eastAsia="標楷體"/>
                <w:color w:val="000000"/>
                <w:sz w:val="28"/>
                <w:szCs w:val="28"/>
              </w:rPr>
              <w:t>等位基因皆出現致病基因變異</w:t>
            </w:r>
          </w:p>
          <w:p w14:paraId="456B8589">
            <w:pPr>
              <w:numPr>
                <w:ilvl w:val="2"/>
                <w:numId w:val="3"/>
              </w:numPr>
              <w:adjustRightInd w:val="0"/>
              <w:snapToGrid w:val="0"/>
              <w:spacing w:line="280" w:lineRule="exact"/>
              <w:ind w:left="357"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THMD3：符合四項臨床必要表徵及對應之腦部核磁共振影像異常病灶，且兩個</w:t>
            </w:r>
            <w:r>
              <w:rPr>
                <w:rFonts w:hint="eastAsia" w:ascii="Times New Roman" w:hAnsi="Times New Roman" w:eastAsia="標楷體"/>
                <w:i/>
                <w:iCs/>
                <w:color w:val="000000"/>
                <w:sz w:val="28"/>
                <w:szCs w:val="28"/>
              </w:rPr>
              <w:t>SLC25A19</w:t>
            </w:r>
            <w:r>
              <w:rPr>
                <w:rFonts w:hint="eastAsia" w:ascii="Times New Roman" w:hAnsi="Times New Roman" w:eastAsia="標楷體"/>
                <w:color w:val="000000"/>
                <w:sz w:val="28"/>
                <w:szCs w:val="28"/>
              </w:rPr>
              <w:t>等位基因皆出現致病基因變異</w:t>
            </w:r>
          </w:p>
          <w:p w14:paraId="48EEC0C5">
            <w:pPr>
              <w:numPr>
                <w:ilvl w:val="2"/>
                <w:numId w:val="3"/>
              </w:numPr>
              <w:adjustRightInd w:val="0"/>
              <w:snapToGrid w:val="0"/>
              <w:spacing w:line="280" w:lineRule="exact"/>
              <w:ind w:left="357"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THMD4：符合三項臨床必要表徵及對應之腦部核磁共振影像異常病灶，且兩個</w:t>
            </w:r>
            <w:r>
              <w:rPr>
                <w:rFonts w:hint="eastAsia" w:ascii="Times New Roman" w:hAnsi="Times New Roman" w:eastAsia="標楷體"/>
                <w:i/>
                <w:iCs/>
                <w:color w:val="000000"/>
                <w:sz w:val="28"/>
                <w:szCs w:val="28"/>
              </w:rPr>
              <w:t>SLC25A19</w:t>
            </w:r>
            <w:r>
              <w:rPr>
                <w:rFonts w:hint="eastAsia" w:ascii="Times New Roman" w:hAnsi="Times New Roman" w:eastAsia="標楷體"/>
                <w:color w:val="000000"/>
                <w:sz w:val="28"/>
                <w:szCs w:val="28"/>
              </w:rPr>
              <w:t>等位基因皆出現致病基因變異</w:t>
            </w:r>
          </w:p>
          <w:p w14:paraId="0A6623E8">
            <w:pPr>
              <w:numPr>
                <w:ilvl w:val="0"/>
                <w:numId w:val="53"/>
              </w:numPr>
              <w:adjustRightInd w:val="0"/>
              <w:snapToGrid w:val="0"/>
              <w:spacing w:line="280" w:lineRule="exact"/>
              <w:ind w:left="357"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5.THMD5：符合三項臨床必要表徵及對應之腦部核磁共振影像異常病灶，且兩個</w:t>
            </w:r>
            <w:r>
              <w:rPr>
                <w:rFonts w:hint="eastAsia" w:ascii="Times New Roman" w:hAnsi="Times New Roman" w:eastAsia="標楷體"/>
                <w:i/>
                <w:iCs/>
                <w:color w:val="000000"/>
                <w:sz w:val="28"/>
                <w:szCs w:val="28"/>
              </w:rPr>
              <w:t>TPK1</w:t>
            </w:r>
            <w:r>
              <w:rPr>
                <w:rFonts w:hint="eastAsia" w:ascii="Times New Roman" w:hAnsi="Times New Roman" w:eastAsia="標楷體"/>
                <w:color w:val="000000"/>
                <w:sz w:val="28"/>
                <w:szCs w:val="28"/>
              </w:rPr>
              <w:t>等位基因皆出現致病基因變異</w:t>
            </w:r>
          </w:p>
        </w:tc>
        <w:tc>
          <w:tcPr>
            <w:tcW w:w="801" w:type="pct"/>
            <w:tcBorders>
              <w:top w:val="single" w:color="000000" w:sz="4" w:space="0"/>
              <w:left w:val="single" w:color="000000" w:sz="4" w:space="0"/>
              <w:bottom w:val="single" w:color="000000" w:sz="4" w:space="0"/>
              <w:right w:val="single" w:color="000000" w:sz="4" w:space="0"/>
            </w:tcBorders>
          </w:tcPr>
          <w:p w14:paraId="0B7C22B2">
            <w:pPr>
              <w:adjustRightInd w:val="0"/>
              <w:snapToGrid w:val="0"/>
              <w:spacing w:line="30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44BCEF9">
            <w:pPr>
              <w:widowControl/>
              <w:adjustRightInd w:val="0"/>
              <w:snapToGrid w:val="0"/>
              <w:spacing w:line="30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需檢附(除THMD1之腦部核磁照影檢查報告外，其餘均必要)：</w:t>
            </w:r>
          </w:p>
          <w:p w14:paraId="5B4FE4CC">
            <w:pPr>
              <w:pStyle w:val="14"/>
              <w:widowControl/>
              <w:numPr>
                <w:ilvl w:val="0"/>
                <w:numId w:val="54"/>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病歷資料，包含臨床病史、身體診察、神經學檢查及發展里程碑等</w:t>
            </w:r>
          </w:p>
          <w:p w14:paraId="230944BF">
            <w:pPr>
              <w:pStyle w:val="14"/>
              <w:widowControl/>
              <w:numPr>
                <w:ilvl w:val="0"/>
                <w:numId w:val="54"/>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w:t>
            </w:r>
          </w:p>
          <w:p w14:paraId="359F16AC">
            <w:pPr>
              <w:pStyle w:val="14"/>
              <w:widowControl/>
              <w:numPr>
                <w:ilvl w:val="0"/>
                <w:numId w:val="54"/>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腦部核磁照影檢查報告 [THMD 2, 3, 4, 5 (必要)；THMD 1 (選擇)]</w:t>
            </w:r>
          </w:p>
          <w:p w14:paraId="3335A2AC">
            <w:pPr>
              <w:pStyle w:val="14"/>
              <w:widowControl/>
              <w:numPr>
                <w:ilvl w:val="0"/>
                <w:numId w:val="54"/>
              </w:numPr>
              <w:adjustRightInd w:val="0"/>
              <w:snapToGrid w:val="0"/>
              <w:spacing w:line="30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50DDFF0C">
        <w:tblPrEx>
          <w:tblCellMar>
            <w:top w:w="0" w:type="dxa"/>
            <w:left w:w="10" w:type="dxa"/>
            <w:bottom w:w="0" w:type="dxa"/>
            <w:right w:w="10" w:type="dxa"/>
          </w:tblCellMar>
        </w:tblPrEx>
        <w:trPr>
          <w:trHeight w:val="379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BB220B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2A1A1FE">
            <w:pPr>
              <w:widowControl/>
              <w:adjustRightInd w:val="0"/>
              <w:snapToGrid w:val="0"/>
              <w:spacing w:line="30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顱骨幹骺端發育不良</w:t>
            </w:r>
            <w:r>
              <w:rPr>
                <w:rFonts w:ascii="Times New Roman" w:hAnsi="Times New Roman" w:eastAsia="標楷體"/>
                <w:color w:val="000000"/>
                <w:sz w:val="28"/>
                <w:szCs w:val="28"/>
              </w:rPr>
              <w:t xml:space="preserve"> </w:t>
            </w:r>
          </w:p>
          <w:p w14:paraId="5B9D56FB">
            <w:pPr>
              <w:widowControl/>
              <w:adjustRightInd w:val="0"/>
              <w:snapToGrid w:val="0"/>
              <w:spacing w:line="30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Craniometaphysial dysplasia</w:t>
            </w:r>
            <w:r>
              <w:rPr>
                <w:rFonts w:hint="eastAsia" w:ascii="Times New Roman" w:hAnsi="Times New Roman" w:eastAsia="標楷體"/>
                <w:color w:val="000000"/>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E1EC0DD">
            <w:pPr>
              <w:adjustRightInd w:val="0"/>
              <w:snapToGrid w:val="0"/>
              <w:spacing w:line="2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符合下列任一項</w:t>
            </w:r>
          </w:p>
          <w:p w14:paraId="3CD9A46B">
            <w:pPr>
              <w:numPr>
                <w:ilvl w:val="0"/>
                <w:numId w:val="51"/>
              </w:numPr>
              <w:adjustRightInd w:val="0"/>
              <w:snapToGrid w:val="0"/>
              <w:spacing w:line="280" w:lineRule="exact"/>
              <w:jc w:val="both"/>
              <w:rPr>
                <w:rFonts w:ascii="Times New Roman" w:hAnsi="Times New Roman" w:eastAsia="標楷體"/>
                <w:color w:val="000000"/>
                <w:sz w:val="28"/>
                <w:szCs w:val="28"/>
              </w:rPr>
            </w:pPr>
            <w:r>
              <w:rPr>
                <w:rFonts w:hint="eastAsia" w:ascii="Times New Roman" w:hAnsi="Times New Roman" w:eastAsia="標楷體"/>
                <w:i/>
                <w:iCs/>
                <w:color w:val="000000"/>
                <w:sz w:val="28"/>
                <w:szCs w:val="28"/>
              </w:rPr>
              <w:t>ANKH</w:t>
            </w:r>
            <w:r>
              <w:rPr>
                <w:rFonts w:hint="eastAsia" w:ascii="Times New Roman" w:hAnsi="Times New Roman" w:eastAsia="標楷體"/>
                <w:color w:val="000000"/>
                <w:sz w:val="28"/>
                <w:szCs w:val="28"/>
              </w:rPr>
              <w:t>基因出現一個致病性變異， 且至少符合兩項臨床核心特徵及異常影像學變化</w:t>
            </w:r>
          </w:p>
          <w:p w14:paraId="04857750">
            <w:pPr>
              <w:numPr>
                <w:ilvl w:val="0"/>
                <w:numId w:val="51"/>
              </w:numPr>
              <w:adjustRightInd w:val="0"/>
              <w:snapToGrid w:val="0"/>
              <w:spacing w:line="280" w:lineRule="exact"/>
              <w:jc w:val="both"/>
              <w:rPr>
                <w:rFonts w:ascii="Times New Roman" w:hAnsi="Times New Roman" w:eastAsia="標楷體"/>
                <w:color w:val="000000"/>
                <w:sz w:val="28"/>
                <w:szCs w:val="28"/>
              </w:rPr>
            </w:pPr>
            <w:r>
              <w:rPr>
                <w:rFonts w:hint="eastAsia" w:ascii="Times New Roman" w:hAnsi="Times New Roman" w:eastAsia="標楷體"/>
                <w:i/>
                <w:iCs/>
                <w:color w:val="000000"/>
                <w:sz w:val="28"/>
                <w:szCs w:val="28"/>
              </w:rPr>
              <w:t>GJA1</w:t>
            </w:r>
            <w:r>
              <w:rPr>
                <w:rFonts w:hint="eastAsia" w:ascii="Times New Roman" w:hAnsi="Times New Roman" w:eastAsia="標楷體"/>
                <w:color w:val="000000"/>
                <w:sz w:val="28"/>
                <w:szCs w:val="28"/>
              </w:rPr>
              <w:t>兩個等位基因出現致病性變異，且至少符合兩項臨床核心特徵及異常影像學變化</w:t>
            </w:r>
          </w:p>
        </w:tc>
        <w:tc>
          <w:tcPr>
            <w:tcW w:w="801" w:type="pct"/>
            <w:tcBorders>
              <w:top w:val="single" w:color="000000" w:sz="4" w:space="0"/>
              <w:left w:val="single" w:color="000000" w:sz="4" w:space="0"/>
              <w:bottom w:val="single" w:color="000000" w:sz="4" w:space="0"/>
              <w:right w:val="single" w:color="000000" w:sz="4" w:space="0"/>
            </w:tcBorders>
          </w:tcPr>
          <w:p w14:paraId="0F3EF4C2">
            <w:pPr>
              <w:adjustRightInd w:val="0"/>
              <w:snapToGrid w:val="0"/>
              <w:spacing w:line="28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，需檢附相關致病基因檢測報告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D406EE5">
            <w:pPr>
              <w:widowControl/>
              <w:adjustRightInd w:val="0"/>
              <w:snapToGrid w:val="0"/>
              <w:spacing w:line="2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2BEB3EC7">
            <w:pPr>
              <w:pStyle w:val="14"/>
              <w:widowControl/>
              <w:numPr>
                <w:ilvl w:val="0"/>
                <w:numId w:val="55"/>
              </w:numPr>
              <w:adjustRightInd w:val="0"/>
              <w:snapToGrid w:val="0"/>
              <w:spacing w:line="28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病歷資料：包含臨床病史、身體及神經學檢查及詳細家族史之病歷資料</w:t>
            </w:r>
          </w:p>
          <w:p w14:paraId="7AD42E3C">
            <w:pPr>
              <w:pStyle w:val="14"/>
              <w:widowControl/>
              <w:numPr>
                <w:ilvl w:val="0"/>
                <w:numId w:val="55"/>
              </w:numPr>
              <w:adjustRightInd w:val="0"/>
              <w:snapToGrid w:val="0"/>
              <w:spacing w:line="28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38FE9AC0">
            <w:pPr>
              <w:pStyle w:val="14"/>
              <w:widowControl/>
              <w:numPr>
                <w:ilvl w:val="0"/>
                <w:numId w:val="55"/>
              </w:numPr>
              <w:adjustRightInd w:val="0"/>
              <w:snapToGrid w:val="0"/>
              <w:spacing w:line="28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1A838168">
            <w:pPr>
              <w:pStyle w:val="14"/>
              <w:widowControl/>
              <w:numPr>
                <w:ilvl w:val="0"/>
                <w:numId w:val="55"/>
              </w:numPr>
              <w:adjustRightInd w:val="0"/>
              <w:snapToGrid w:val="0"/>
              <w:spacing w:line="28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42083B76">
            <w:pPr>
              <w:pStyle w:val="14"/>
              <w:widowControl/>
              <w:numPr>
                <w:ilvl w:val="0"/>
                <w:numId w:val="55"/>
              </w:numPr>
              <w:adjustRightInd w:val="0"/>
              <w:snapToGrid w:val="0"/>
              <w:spacing w:line="28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tc>
      </w:tr>
      <w:tr w14:paraId="6456A6AB">
        <w:tblPrEx>
          <w:tblCellMar>
            <w:top w:w="0" w:type="dxa"/>
            <w:left w:w="10" w:type="dxa"/>
            <w:bottom w:w="0" w:type="dxa"/>
            <w:right w:w="10" w:type="dxa"/>
          </w:tblCellMar>
        </w:tblPrEx>
        <w:trPr>
          <w:trHeight w:val="209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F8E5FC0">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F2BC699">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Rubinstein-Taybi氏症候群</w:t>
            </w:r>
          </w:p>
          <w:p w14:paraId="43FC3446">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(Rubinstein-Taybi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6E2E15">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符合臨床症狀、徵兆及臨床條件</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46EAAE80">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4353A4B">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需檢附(3項均必要)：</w:t>
            </w:r>
          </w:p>
          <w:p w14:paraId="790A2842">
            <w:pPr>
              <w:pStyle w:val="14"/>
              <w:widowControl/>
              <w:numPr>
                <w:ilvl w:val="0"/>
                <w:numId w:val="56"/>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相關臨床症狀及徵兆的病歷紀錄。</w:t>
            </w:r>
          </w:p>
          <w:p w14:paraId="15B76417">
            <w:pPr>
              <w:pStyle w:val="14"/>
              <w:widowControl/>
              <w:numPr>
                <w:ilvl w:val="0"/>
                <w:numId w:val="56"/>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臨床符合條件。(請檢附臉、手指及腳趾照片)</w:t>
            </w:r>
          </w:p>
          <w:p w14:paraId="3787806D">
            <w:pPr>
              <w:pStyle w:val="14"/>
              <w:widowControl/>
              <w:numPr>
                <w:ilvl w:val="0"/>
                <w:numId w:val="56"/>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526A2710">
        <w:tblPrEx>
          <w:tblCellMar>
            <w:top w:w="0" w:type="dxa"/>
            <w:left w:w="10" w:type="dxa"/>
            <w:bottom w:w="0" w:type="dxa"/>
            <w:right w:w="10" w:type="dxa"/>
          </w:tblCellMar>
        </w:tblPrEx>
        <w:trPr>
          <w:trHeight w:val="212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B44DC7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8B3CC09">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軟骨發育不全症</w:t>
            </w:r>
          </w:p>
          <w:p w14:paraId="4BCB969A">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(Achondroplasia)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C5D8110">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符合臨床及影像表徵</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A2D2AF7">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D60BA5">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需檢附(3項均必要)：</w:t>
            </w:r>
          </w:p>
          <w:p w14:paraId="0B89581D">
            <w:pPr>
              <w:pStyle w:val="14"/>
              <w:widowControl/>
              <w:numPr>
                <w:ilvl w:val="0"/>
                <w:numId w:val="5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病歷資料：包括臨床病史、身體檢查之病歷資料</w:t>
            </w:r>
          </w:p>
          <w:p w14:paraId="2F061998">
            <w:pPr>
              <w:pStyle w:val="14"/>
              <w:widowControl/>
              <w:numPr>
                <w:ilvl w:val="0"/>
                <w:numId w:val="5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放射線影像檢查報告</w:t>
            </w:r>
          </w:p>
          <w:p w14:paraId="1810AA83">
            <w:pPr>
              <w:pStyle w:val="14"/>
              <w:widowControl/>
              <w:numPr>
                <w:ilvl w:val="0"/>
                <w:numId w:val="57"/>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0D176F49">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D696D3C">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69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4DA3051">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神經纖維瘤症候群第二型</w:t>
            </w:r>
          </w:p>
          <w:p w14:paraId="609085D7">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(Neurofibromatosis typeⅡ)</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B474F3">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須符合：</w:t>
            </w:r>
          </w:p>
          <w:p w14:paraId="50A4C64D">
            <w:pPr>
              <w:numPr>
                <w:ilvl w:val="0"/>
                <w:numId w:val="5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NF2或其他基因檢測結果正常，符合下列其中一項診斷條件：(1)兩側聽神經許旺細胞瘤、(2)直系一等血親家族史(+)及單側聽神經許旺細胞瘤、(3)直系一等血親家族史(+)，加上兩種以上之下列病灶: 其他位置之許旺細胞瘤、腦膜瘤、膠質瘤、神經纖維瘤、少年型白內障。</w:t>
            </w:r>
          </w:p>
          <w:p w14:paraId="496C5B96">
            <w:pPr>
              <w:numPr>
                <w:ilvl w:val="0"/>
                <w:numId w:val="5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NF2或其他基因檢測結果具致病性單等位基因變異，符合下列其中一項診斷條件：(1)聽神經許旺細胞瘤、(2)多個腦膜瘤、(3)兩種以上之下列病灶: 其他位置之許旺細胞瘤、膠質瘤、神經纖維瘤、少年型白內障。</w:t>
            </w:r>
          </w:p>
        </w:tc>
        <w:tc>
          <w:tcPr>
            <w:tcW w:w="801" w:type="pct"/>
            <w:tcBorders>
              <w:top w:val="single" w:color="000000" w:sz="4" w:space="0"/>
              <w:left w:val="single" w:color="000000" w:sz="4" w:space="0"/>
              <w:bottom w:val="single" w:color="000000" w:sz="4" w:space="0"/>
              <w:right w:val="single" w:color="000000" w:sz="4" w:space="0"/>
            </w:tcBorders>
          </w:tcPr>
          <w:p w14:paraId="5D02559E">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9B7D38">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需檢附(4項均必要)：</w:t>
            </w:r>
          </w:p>
          <w:p w14:paraId="111F99A0">
            <w:pPr>
              <w:pStyle w:val="14"/>
              <w:widowControl/>
              <w:numPr>
                <w:ilvl w:val="0"/>
                <w:numId w:val="59"/>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病歷資料：包括臨床病史、身體及神經學檢查及詳細家族史之病歷資料</w:t>
            </w:r>
          </w:p>
          <w:p w14:paraId="04553F28">
            <w:pPr>
              <w:pStyle w:val="14"/>
              <w:widowControl/>
              <w:numPr>
                <w:ilvl w:val="0"/>
                <w:numId w:val="59"/>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5564A591">
            <w:pPr>
              <w:pStyle w:val="14"/>
              <w:widowControl/>
              <w:numPr>
                <w:ilvl w:val="0"/>
                <w:numId w:val="59"/>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113082D2">
            <w:pPr>
              <w:pStyle w:val="14"/>
              <w:widowControl/>
              <w:numPr>
                <w:ilvl w:val="0"/>
                <w:numId w:val="59"/>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4EBE41E2">
        <w:tblPrEx>
          <w:tblCellMar>
            <w:top w:w="0" w:type="dxa"/>
            <w:left w:w="10" w:type="dxa"/>
            <w:bottom w:w="0" w:type="dxa"/>
            <w:right w:w="10" w:type="dxa"/>
          </w:tblCellMar>
        </w:tblPrEx>
        <w:trPr>
          <w:trHeight w:val="266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714F17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8D2B8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腦腱性黃瘤症</w:t>
            </w:r>
          </w:p>
          <w:p w14:paraId="597FAFE1">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(Cerebrotendinous </w:t>
            </w:r>
            <w:r>
              <w:rPr>
                <w:rFonts w:ascii="Times New Roman" w:hAnsi="Times New Roman" w:eastAsia="標楷體"/>
                <w:color w:val="000000"/>
                <w:sz w:val="28"/>
                <w:szCs w:val="28"/>
              </w:rPr>
              <w:t>x</w:t>
            </w:r>
            <w:r>
              <w:rPr>
                <w:rFonts w:hint="eastAsia" w:ascii="Times New Roman" w:hAnsi="Times New Roman" w:eastAsia="標楷體"/>
                <w:color w:val="000000"/>
                <w:sz w:val="28"/>
                <w:szCs w:val="28"/>
              </w:rPr>
              <w:t>anthomatosis)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28B222F">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符合臨床症狀及徵兆，且腦部核磁共振造影具腦白質病變及具有致病性基因變異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EAB1793">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4B44C94">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需檢附(6項均必要)：</w:t>
            </w:r>
          </w:p>
          <w:p w14:paraId="13EA8C15">
            <w:pPr>
              <w:pStyle w:val="14"/>
              <w:widowControl/>
              <w:numPr>
                <w:ilvl w:val="0"/>
                <w:numId w:val="60"/>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280CAB97">
            <w:pPr>
              <w:pStyle w:val="14"/>
              <w:widowControl/>
              <w:numPr>
                <w:ilvl w:val="0"/>
                <w:numId w:val="60"/>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臨床病史</w:t>
            </w:r>
          </w:p>
          <w:p w14:paraId="091F8EE9">
            <w:pPr>
              <w:pStyle w:val="14"/>
              <w:widowControl/>
              <w:numPr>
                <w:ilvl w:val="0"/>
                <w:numId w:val="60"/>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家族病史</w:t>
            </w:r>
          </w:p>
          <w:p w14:paraId="1ABA25F6">
            <w:pPr>
              <w:pStyle w:val="14"/>
              <w:widowControl/>
              <w:numPr>
                <w:ilvl w:val="0"/>
                <w:numId w:val="60"/>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臨床症狀及徵兆</w:t>
            </w:r>
          </w:p>
          <w:p w14:paraId="724F1360">
            <w:pPr>
              <w:pStyle w:val="14"/>
              <w:widowControl/>
              <w:numPr>
                <w:ilvl w:val="0"/>
                <w:numId w:val="60"/>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5EA72EE0">
            <w:pPr>
              <w:pStyle w:val="14"/>
              <w:widowControl/>
              <w:numPr>
                <w:ilvl w:val="0"/>
                <w:numId w:val="60"/>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0769AE33">
        <w:tblPrEx>
          <w:tblCellMar>
            <w:top w:w="0" w:type="dxa"/>
            <w:left w:w="10" w:type="dxa"/>
            <w:bottom w:w="0" w:type="dxa"/>
            <w:right w:w="10" w:type="dxa"/>
          </w:tblCellMar>
        </w:tblPrEx>
        <w:trPr>
          <w:trHeight w:val="4762"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3F2544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w:t>
            </w:r>
            <w:r>
              <w:rPr>
                <w:rFonts w:ascii="Times New Roman" w:hAnsi="Times New Roman" w:eastAsia="標楷體"/>
                <w:color w:val="000000"/>
                <w:sz w:val="28"/>
                <w:szCs w:val="28"/>
              </w:rPr>
              <w:t>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19B7DE6">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遺傳性表皮分解性水皰症</w:t>
            </w:r>
          </w:p>
          <w:p w14:paraId="3297946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w:t>
            </w:r>
            <w:r>
              <w:rPr>
                <w:rFonts w:ascii="Times New Roman" w:hAnsi="Times New Roman" w:eastAsia="標楷體"/>
                <w:color w:val="000000"/>
                <w:sz w:val="28"/>
                <w:szCs w:val="28"/>
              </w:rPr>
              <w:t>Hereditary e</w:t>
            </w:r>
            <w:r>
              <w:rPr>
                <w:rFonts w:hint="eastAsia" w:ascii="Times New Roman" w:hAnsi="Times New Roman" w:eastAsia="標楷體"/>
                <w:color w:val="000000"/>
                <w:sz w:val="28"/>
                <w:szCs w:val="28"/>
              </w:rPr>
              <w:t xml:space="preserve">pidermolysis </w:t>
            </w:r>
            <w:r>
              <w:rPr>
                <w:rFonts w:ascii="Times New Roman" w:hAnsi="Times New Roman" w:eastAsia="標楷體"/>
                <w:color w:val="000000"/>
                <w:sz w:val="28"/>
                <w:szCs w:val="28"/>
              </w:rPr>
              <w:t>b</w:t>
            </w:r>
            <w:r>
              <w:rPr>
                <w:rFonts w:hint="eastAsia" w:ascii="Times New Roman" w:hAnsi="Times New Roman" w:eastAsia="標楷體"/>
                <w:color w:val="000000"/>
                <w:sz w:val="28"/>
                <w:szCs w:val="28"/>
              </w:rPr>
              <w:t>ullosa)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C247227">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須符合下列條件之一：</w:t>
            </w:r>
          </w:p>
          <w:p w14:paraId="1D3C3A5B">
            <w:pPr>
              <w:numPr>
                <w:ilvl w:val="0"/>
                <w:numId w:val="61"/>
              </w:numPr>
              <w:tabs>
                <w:tab w:val="clear" w:pos="720"/>
              </w:tabs>
              <w:adjustRightInd w:val="0"/>
              <w:snapToGrid w:val="0"/>
              <w:spacing w:line="320" w:lineRule="exact"/>
              <w:ind w:left="424" w:hanging="283"/>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具致病性基因突變及符合二項(含)以上之必要臨床症狀及徵兆</w:t>
            </w:r>
          </w:p>
          <w:p w14:paraId="2A977606">
            <w:pPr>
              <w:numPr>
                <w:ilvl w:val="0"/>
                <w:numId w:val="61"/>
              </w:numPr>
              <w:tabs>
                <w:tab w:val="clear" w:pos="720"/>
              </w:tabs>
              <w:adjustRightInd w:val="0"/>
              <w:snapToGrid w:val="0"/>
              <w:spacing w:line="320" w:lineRule="exact"/>
              <w:ind w:left="426" w:hanging="284"/>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具致病性基因突變及符合一項(含)以上之必要臨床症狀及徵兆及三項(含)以上次要臨床症狀及徵兆</w:t>
            </w:r>
          </w:p>
        </w:tc>
        <w:tc>
          <w:tcPr>
            <w:tcW w:w="801" w:type="pct"/>
            <w:tcBorders>
              <w:top w:val="single" w:color="000000" w:sz="4" w:space="0"/>
              <w:left w:val="single" w:color="000000" w:sz="4" w:space="0"/>
              <w:bottom w:val="single" w:color="000000" w:sz="4" w:space="0"/>
              <w:right w:val="single" w:color="000000" w:sz="4" w:space="0"/>
            </w:tcBorders>
          </w:tcPr>
          <w:p w14:paraId="0F978A2A">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39C39C2">
            <w:pPr>
              <w:pStyle w:val="14"/>
              <w:widowControl/>
              <w:adjustRightInd w:val="0"/>
              <w:snapToGrid w:val="0"/>
              <w:spacing w:line="320" w:lineRule="exact"/>
              <w:ind w:left="0"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需檢附(5項均必要)：</w:t>
            </w:r>
          </w:p>
          <w:p w14:paraId="5B60B2C6">
            <w:pPr>
              <w:pStyle w:val="14"/>
              <w:widowControl/>
              <w:numPr>
                <w:ilvl w:val="0"/>
                <w:numId w:val="6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臨床病史、臨床症狀及徵兆</w:t>
            </w:r>
          </w:p>
          <w:p w14:paraId="27B733F7">
            <w:pPr>
              <w:pStyle w:val="14"/>
              <w:widowControl/>
              <w:numPr>
                <w:ilvl w:val="0"/>
                <w:numId w:val="6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家族病史、臨床分類</w:t>
            </w:r>
          </w:p>
          <w:p w14:paraId="3A5162FF">
            <w:pPr>
              <w:pStyle w:val="14"/>
              <w:widowControl/>
              <w:numPr>
                <w:ilvl w:val="0"/>
                <w:numId w:val="6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電子顯微鏡檢查   </w:t>
            </w:r>
          </w:p>
          <w:p w14:paraId="5F4FA96D">
            <w:pPr>
              <w:pStyle w:val="14"/>
              <w:widowControl/>
              <w:numPr>
                <w:ilvl w:val="0"/>
                <w:numId w:val="6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免疫螢光染色  </w:t>
            </w:r>
          </w:p>
          <w:p w14:paraId="0E239DCE">
            <w:pPr>
              <w:pStyle w:val="14"/>
              <w:widowControl/>
              <w:numPr>
                <w:ilvl w:val="0"/>
                <w:numId w:val="62"/>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2EA827AA">
        <w:tblPrEx>
          <w:tblCellMar>
            <w:top w:w="0" w:type="dxa"/>
            <w:left w:w="10" w:type="dxa"/>
            <w:bottom w:w="0" w:type="dxa"/>
            <w:right w:w="10" w:type="dxa"/>
          </w:tblCellMar>
        </w:tblPrEx>
        <w:trPr>
          <w:trHeight w:val="2154"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C4C7D24">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D69CB2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原發性高草酸鹽尿症</w:t>
            </w:r>
          </w:p>
          <w:p w14:paraId="7EA2B755">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(Primary </w:t>
            </w:r>
            <w:r>
              <w:rPr>
                <w:rFonts w:ascii="Times New Roman" w:hAnsi="Times New Roman" w:eastAsia="標楷體"/>
                <w:color w:val="000000"/>
                <w:sz w:val="28"/>
                <w:szCs w:val="28"/>
              </w:rPr>
              <w:t>h</w:t>
            </w:r>
            <w:r>
              <w:rPr>
                <w:rFonts w:hint="eastAsia" w:ascii="Times New Roman" w:hAnsi="Times New Roman" w:eastAsia="標楷體"/>
                <w:color w:val="000000"/>
                <w:sz w:val="28"/>
                <w:szCs w:val="28"/>
              </w:rPr>
              <w:t>yperoxaluria)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3602BDE">
            <w:p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符合臨床必要表徵，且具致病基因變異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5B7FC461">
            <w:pPr>
              <w:adjustRightInd w:val="0"/>
              <w:snapToGrid w:val="0"/>
              <w:spacing w:line="320" w:lineRule="exact"/>
              <w:jc w:val="both"/>
              <w:rPr>
                <w:rFonts w:ascii="Times New Roman" w:hAnsi="Times New Roman" w:eastAsia="標楷體"/>
                <w:b/>
                <w:color w:val="000000"/>
                <w:sz w:val="28"/>
                <w:szCs w:val="28"/>
                <w:u w:val="single"/>
              </w:rPr>
            </w:pPr>
            <w:r>
              <w:rPr>
                <w:rFonts w:hint="eastAsia" w:ascii="Times New Roman" w:hAnsi="Times New Roman" w:eastAsia="標楷體"/>
                <w:b/>
                <w:color w:val="000000"/>
                <w:sz w:val="28"/>
                <w:szCs w:val="28"/>
                <w:u w:val="single"/>
              </w:rPr>
              <w:t>需要</w:t>
            </w:r>
            <w:r>
              <w:rPr>
                <w:rFonts w:hint="eastAsia" w:ascii="Times New Roman" w:hAnsi="Times New Roman" w:eastAsia="標楷體"/>
                <w:color w:val="000000"/>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F9DAA2F">
            <w:pPr>
              <w:pStyle w:val="14"/>
              <w:widowControl/>
              <w:adjustRightInd w:val="0"/>
              <w:snapToGrid w:val="0"/>
              <w:spacing w:line="320" w:lineRule="exact"/>
              <w:ind w:left="0"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需檢附(4項均必要)：</w:t>
            </w:r>
          </w:p>
          <w:p w14:paraId="6E96AAF5">
            <w:pPr>
              <w:pStyle w:val="14"/>
              <w:widowControl/>
              <w:numPr>
                <w:ilvl w:val="0"/>
                <w:numId w:val="6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病歷資料 </w:t>
            </w:r>
          </w:p>
          <w:p w14:paraId="252969B3">
            <w:pPr>
              <w:pStyle w:val="14"/>
              <w:widowControl/>
              <w:numPr>
                <w:ilvl w:val="0"/>
                <w:numId w:val="6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血液及尿液生化檢查報告</w:t>
            </w:r>
          </w:p>
          <w:p w14:paraId="40C8B2B2">
            <w:pPr>
              <w:pStyle w:val="14"/>
              <w:widowControl/>
              <w:numPr>
                <w:ilvl w:val="0"/>
                <w:numId w:val="6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w:t>
            </w:r>
          </w:p>
          <w:p w14:paraId="6E7C391E">
            <w:pPr>
              <w:pStyle w:val="14"/>
              <w:widowControl/>
              <w:numPr>
                <w:ilvl w:val="0"/>
                <w:numId w:val="63"/>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47A38440">
        <w:tblPrEx>
          <w:tblCellMar>
            <w:top w:w="0" w:type="dxa"/>
            <w:left w:w="10" w:type="dxa"/>
            <w:bottom w:w="0" w:type="dxa"/>
            <w:right w:w="10" w:type="dxa"/>
          </w:tblCellMar>
        </w:tblPrEx>
        <w:trPr>
          <w:trHeight w:val="1781"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40670AA">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w:t>
            </w:r>
            <w:r>
              <w:rPr>
                <w:rFonts w:ascii="Times New Roman" w:hAnsi="Times New Roman" w:eastAsia="標楷體"/>
                <w:color w:val="000000"/>
                <w:sz w:val="28"/>
                <w:szCs w:val="28"/>
              </w:rPr>
              <w:t>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8FFA3A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黑尿症</w:t>
            </w:r>
          </w:p>
          <w:p w14:paraId="061CDD50">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(Alkaptonuria</w:t>
            </w:r>
            <w:r>
              <w:rPr>
                <w:rFonts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C62F85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符合臨床主要表徵、尿液之氣相色譜質譜分析檢查異常，且具致病性基因變異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BDDF6E0">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54BDFA">
            <w:pPr>
              <w:pStyle w:val="14"/>
              <w:widowControl/>
              <w:adjustRightInd w:val="0"/>
              <w:snapToGrid w:val="0"/>
              <w:spacing w:line="320" w:lineRule="exact"/>
              <w:ind w:left="0" w:leftChars="0"/>
              <w:jc w:val="both"/>
              <w:rPr>
                <w:rFonts w:ascii="Times New Roman" w:hAnsi="Times New Roman" w:eastAsia="標楷體"/>
                <w:sz w:val="28"/>
                <w:szCs w:val="28"/>
              </w:rPr>
            </w:pPr>
            <w:r>
              <w:rPr>
                <w:rFonts w:hint="eastAsia" w:ascii="Times New Roman" w:hAnsi="Times New Roman" w:eastAsia="標楷體"/>
                <w:sz w:val="28"/>
                <w:szCs w:val="28"/>
              </w:rPr>
              <w:t>需檢附(</w:t>
            </w:r>
            <w:r>
              <w:rPr>
                <w:rFonts w:ascii="Times New Roman" w:hAnsi="Times New Roman" w:eastAsia="標楷體"/>
                <w:sz w:val="28"/>
                <w:szCs w:val="28"/>
              </w:rPr>
              <w:t>3</w:t>
            </w:r>
            <w:r>
              <w:rPr>
                <w:rFonts w:hint="eastAsia" w:ascii="Times New Roman" w:hAnsi="Times New Roman" w:eastAsia="標楷體"/>
                <w:sz w:val="28"/>
                <w:szCs w:val="28"/>
              </w:rPr>
              <w:t>項均必要)：</w:t>
            </w:r>
          </w:p>
          <w:p w14:paraId="2708E80E">
            <w:pPr>
              <w:pStyle w:val="14"/>
              <w:widowControl/>
              <w:numPr>
                <w:ilvl w:val="0"/>
                <w:numId w:val="6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 xml:space="preserve">臨床資料 </w:t>
            </w:r>
          </w:p>
          <w:p w14:paraId="1BBB1876">
            <w:pPr>
              <w:pStyle w:val="14"/>
              <w:widowControl/>
              <w:numPr>
                <w:ilvl w:val="0"/>
                <w:numId w:val="6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尿液之氣相色譜質譜分析檢查結果</w:t>
            </w:r>
          </w:p>
          <w:p w14:paraId="73A62342">
            <w:pPr>
              <w:pStyle w:val="14"/>
              <w:widowControl/>
              <w:numPr>
                <w:ilvl w:val="0"/>
                <w:numId w:val="64"/>
              </w:numPr>
              <w:adjustRightInd w:val="0"/>
              <w:snapToGrid w:val="0"/>
              <w:spacing w:line="320" w:lineRule="exact"/>
              <w:ind w:leftChars="0"/>
              <w:jc w:val="both"/>
              <w:rPr>
                <w:rFonts w:ascii="Times New Roman" w:hAnsi="Times New Roman" w:eastAsia="標楷體"/>
                <w:sz w:val="28"/>
                <w:szCs w:val="28"/>
              </w:rPr>
            </w:pPr>
            <w:r>
              <w:rPr>
                <w:rFonts w:hint="eastAsia" w:ascii="Times New Roman" w:hAnsi="Times New Roman" w:eastAsia="標楷體"/>
                <w:sz w:val="28"/>
                <w:szCs w:val="28"/>
              </w:rPr>
              <w:t>基因檢測報告</w:t>
            </w:r>
          </w:p>
        </w:tc>
      </w:tr>
      <w:tr w14:paraId="01D644B5">
        <w:tblPrEx>
          <w:tblCellMar>
            <w:top w:w="0" w:type="dxa"/>
            <w:left w:w="10" w:type="dxa"/>
            <w:bottom w:w="0" w:type="dxa"/>
            <w:right w:w="10" w:type="dxa"/>
          </w:tblCellMar>
        </w:tblPrEx>
        <w:trPr>
          <w:trHeight w:val="2104"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7156D08">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3095D49">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囊狀纖維化症</w:t>
            </w:r>
          </w:p>
          <w:p w14:paraId="3C04A752">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(Cystic </w:t>
            </w:r>
            <w:r>
              <w:rPr>
                <w:rFonts w:ascii="Times New Roman" w:hAnsi="Times New Roman" w:eastAsia="標楷體"/>
                <w:sz w:val="28"/>
                <w:szCs w:val="28"/>
              </w:rPr>
              <w:t>f</w:t>
            </w:r>
            <w:r>
              <w:rPr>
                <w:rFonts w:hint="eastAsia" w:ascii="Times New Roman" w:hAnsi="Times New Roman" w:eastAsia="標楷體"/>
                <w:sz w:val="28"/>
                <w:szCs w:val="28"/>
              </w:rPr>
              <w:t>ibrosis)</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993BF58">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符合必要臨床表現 2 項以上，且具致病性基因變異</w:t>
            </w:r>
          </w:p>
        </w:tc>
        <w:tc>
          <w:tcPr>
            <w:tcW w:w="801" w:type="pct"/>
            <w:tcBorders>
              <w:top w:val="single" w:color="000000" w:sz="4" w:space="0"/>
              <w:left w:val="single" w:color="000000" w:sz="4" w:space="0"/>
              <w:bottom w:val="single" w:color="000000" w:sz="4" w:space="0"/>
              <w:right w:val="single" w:color="000000" w:sz="4" w:space="0"/>
            </w:tcBorders>
          </w:tcPr>
          <w:p w14:paraId="5420628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9714496">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09612362">
            <w:pPr>
              <w:pStyle w:val="14"/>
              <w:widowControl/>
              <w:numPr>
                <w:ilvl w:val="0"/>
                <w:numId w:val="6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6E9727DD">
            <w:pPr>
              <w:pStyle w:val="14"/>
              <w:widowControl/>
              <w:numPr>
                <w:ilvl w:val="0"/>
                <w:numId w:val="6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37E12B24">
            <w:pPr>
              <w:pStyle w:val="14"/>
              <w:widowControl/>
              <w:numPr>
                <w:ilvl w:val="0"/>
                <w:numId w:val="6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5440E69C">
            <w:pPr>
              <w:pStyle w:val="14"/>
              <w:widowControl/>
              <w:numPr>
                <w:ilvl w:val="0"/>
                <w:numId w:val="6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58DBC30A">
            <w:pPr>
              <w:pStyle w:val="14"/>
              <w:widowControl/>
              <w:numPr>
                <w:ilvl w:val="0"/>
                <w:numId w:val="65"/>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tc>
      </w:tr>
      <w:tr w14:paraId="5E9CE67B">
        <w:tblPrEx>
          <w:tblCellMar>
            <w:top w:w="0" w:type="dxa"/>
            <w:left w:w="10" w:type="dxa"/>
            <w:bottom w:w="0" w:type="dxa"/>
            <w:right w:w="10" w:type="dxa"/>
          </w:tblCellMar>
        </w:tblPrEx>
        <w:trPr>
          <w:trHeight w:val="211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41F8E81">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036A0D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Von Hippel–Lindau 症候群</w:t>
            </w:r>
          </w:p>
          <w:p w14:paraId="69AAA7A1">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(Von Hippel–Lindau disease)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2EDB13D">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符合各臨床分類之主要症狀及徵兆，且具VHL致病基因變異</w:t>
            </w:r>
          </w:p>
        </w:tc>
        <w:tc>
          <w:tcPr>
            <w:tcW w:w="801" w:type="pct"/>
            <w:tcBorders>
              <w:top w:val="single" w:color="000000" w:sz="4" w:space="0"/>
              <w:left w:val="single" w:color="000000" w:sz="4" w:space="0"/>
              <w:bottom w:val="single" w:color="000000" w:sz="4" w:space="0"/>
              <w:right w:val="single" w:color="000000" w:sz="4" w:space="0"/>
            </w:tcBorders>
          </w:tcPr>
          <w:p w14:paraId="03B564A1">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D61D94F">
            <w:pPr>
              <w:pStyle w:val="14"/>
              <w:widowControl/>
              <w:adjustRightInd w:val="0"/>
              <w:snapToGrid w:val="0"/>
              <w:spacing w:line="320" w:lineRule="exact"/>
              <w:ind w:left="0" w:leftChars="0"/>
              <w:jc w:val="both"/>
              <w:rPr>
                <w:rFonts w:ascii="Times New Roman" w:hAnsi="Times New Roman" w:eastAsia="標楷體"/>
                <w:sz w:val="28"/>
                <w:szCs w:val="28"/>
              </w:rPr>
            </w:pPr>
            <w:r>
              <w:rPr>
                <w:rFonts w:hint="eastAsia" w:ascii="Times New Roman" w:hAnsi="Times New Roman" w:eastAsia="標楷體"/>
                <w:sz w:val="28"/>
                <w:szCs w:val="28"/>
              </w:rPr>
              <w:t>需檢附(</w:t>
            </w:r>
            <w:r>
              <w:rPr>
                <w:rFonts w:ascii="Times New Roman" w:hAnsi="Times New Roman" w:eastAsia="標楷體"/>
                <w:sz w:val="28"/>
                <w:szCs w:val="28"/>
              </w:rPr>
              <w:t>4</w:t>
            </w:r>
            <w:r>
              <w:rPr>
                <w:rFonts w:hint="eastAsia" w:ascii="Times New Roman" w:hAnsi="Times New Roman" w:eastAsia="標楷體"/>
                <w:sz w:val="28"/>
                <w:szCs w:val="28"/>
              </w:rPr>
              <w:t>項均必要)：</w:t>
            </w:r>
          </w:p>
          <w:p w14:paraId="7C8273EF">
            <w:pPr>
              <w:widowControl/>
              <w:numPr>
                <w:ilvl w:val="0"/>
                <w:numId w:val="6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相關臨床症狀及徵兆的病歷紀錄</w:t>
            </w:r>
          </w:p>
          <w:p w14:paraId="33A697BA">
            <w:pPr>
              <w:widowControl/>
              <w:numPr>
                <w:ilvl w:val="0"/>
                <w:numId w:val="6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影像報告</w:t>
            </w:r>
          </w:p>
          <w:p w14:paraId="41DFB340">
            <w:pPr>
              <w:widowControl/>
              <w:numPr>
                <w:ilvl w:val="0"/>
                <w:numId w:val="6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60E22471">
            <w:pPr>
              <w:widowControl/>
              <w:numPr>
                <w:ilvl w:val="0"/>
                <w:numId w:val="6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生化檢驗報告</w:t>
            </w:r>
          </w:p>
        </w:tc>
      </w:tr>
      <w:tr w14:paraId="63808D36">
        <w:tblPrEx>
          <w:tblCellMar>
            <w:top w:w="0" w:type="dxa"/>
            <w:left w:w="10" w:type="dxa"/>
            <w:bottom w:w="0" w:type="dxa"/>
            <w:right w:w="10" w:type="dxa"/>
          </w:tblCellMar>
        </w:tblPrEx>
        <w:trPr>
          <w:trHeight w:val="2694"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971EE48">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2FABD6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肌小管病變</w:t>
            </w:r>
          </w:p>
          <w:p w14:paraId="02CF1E4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(Myotubular </w:t>
            </w:r>
            <w:r>
              <w:rPr>
                <w:rFonts w:ascii="Times New Roman" w:hAnsi="Times New Roman" w:eastAsia="標楷體"/>
                <w:sz w:val="28"/>
                <w:szCs w:val="28"/>
              </w:rPr>
              <w:t>m</w:t>
            </w:r>
            <w:r>
              <w:rPr>
                <w:rFonts w:hint="eastAsia" w:ascii="Times New Roman" w:hAnsi="Times New Roman" w:eastAsia="標楷體"/>
                <w:sz w:val="28"/>
                <w:szCs w:val="28"/>
              </w:rPr>
              <w:t>yopathy)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EC8F5EF">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符合3項必要臨床表徵及1項選擇臨床表徵，且MTM1基因具性聯隱性遺傳之致病基因變異</w:t>
            </w:r>
          </w:p>
        </w:tc>
        <w:tc>
          <w:tcPr>
            <w:tcW w:w="801" w:type="pct"/>
            <w:tcBorders>
              <w:top w:val="single" w:color="000000" w:sz="4" w:space="0"/>
              <w:left w:val="single" w:color="000000" w:sz="4" w:space="0"/>
              <w:bottom w:val="single" w:color="000000" w:sz="4" w:space="0"/>
              <w:right w:val="single" w:color="000000" w:sz="4" w:space="0"/>
            </w:tcBorders>
          </w:tcPr>
          <w:p w14:paraId="5E8FCCD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EBD7D27">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058FB96F">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54121D21">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w:t>
            </w:r>
          </w:p>
          <w:p w14:paraId="01371743">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73B34E84">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電生理檢查</w:t>
            </w:r>
          </w:p>
          <w:p w14:paraId="03393D6C">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肌肉切片檢查</w:t>
            </w:r>
          </w:p>
          <w:p w14:paraId="5E8EA9D2">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w:t>
            </w:r>
          </w:p>
          <w:p w14:paraId="4DB2E824">
            <w:pPr>
              <w:pStyle w:val="14"/>
              <w:widowControl/>
              <w:numPr>
                <w:ilvl w:val="0"/>
                <w:numId w:val="67"/>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tc>
      </w:tr>
      <w:tr w14:paraId="0FE8120B">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5B62C2E">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63CC4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Kallmann氏症候群</w:t>
            </w:r>
          </w:p>
          <w:p w14:paraId="48C9B93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(Kallmann </w:t>
            </w:r>
            <w:r>
              <w:rPr>
                <w:rFonts w:ascii="Times New Roman" w:hAnsi="Times New Roman" w:eastAsia="標楷體"/>
                <w:sz w:val="28"/>
                <w:szCs w:val="28"/>
              </w:rPr>
              <w:t>s</w:t>
            </w:r>
            <w:r>
              <w:rPr>
                <w:rFonts w:hint="eastAsia" w:ascii="Times New Roman" w:hAnsi="Times New Roman" w:eastAsia="標楷體"/>
                <w:sz w:val="28"/>
                <w:szCs w:val="28"/>
              </w:rPr>
              <w:t>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E0F9862">
            <w:pPr>
              <w:adjustRightInd w:val="0"/>
              <w:snapToGrid w:val="0"/>
              <w:spacing w:line="320" w:lineRule="exact"/>
              <w:rPr>
                <w:rFonts w:ascii="Times New Roman" w:hAnsi="Times New Roman" w:eastAsia="標楷體"/>
                <w:sz w:val="28"/>
                <w:szCs w:val="28"/>
              </w:rPr>
            </w:pPr>
            <w:r>
              <w:rPr>
                <w:rFonts w:hint="eastAsia" w:ascii="Times New Roman" w:hAnsi="Times New Roman" w:eastAsia="標楷體"/>
                <w:sz w:val="28"/>
                <w:szCs w:val="28"/>
              </w:rPr>
              <w:t>符合下列四項：</w:t>
            </w:r>
          </w:p>
          <w:p w14:paraId="7DD2C738">
            <w:pPr>
              <w:adjustRightInd w:val="0"/>
              <w:snapToGrid w:val="0"/>
              <w:spacing w:line="320" w:lineRule="exact"/>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A</w:t>
            </w:r>
            <w:r>
              <w:rPr>
                <w:rFonts w:hint="eastAsia" w:ascii="Times New Roman" w:hAnsi="Times New Roman" w:eastAsia="標楷體"/>
                <w:sz w:val="28"/>
                <w:szCs w:val="28"/>
              </w:rPr>
              <w:t>) Age男≧14歲 / 女≧13歲 (或3-6th months時： no response to LHRH stimulation test)；(B) 青春發育 (Hormone therapy前)：(女)胸部或(男) Genital ≦ Tanner stage III；及睪丸 ≦8 ml；</w:t>
            </w:r>
            <w:r>
              <w:rPr>
                <w:rFonts w:ascii="Times New Roman" w:hAnsi="Times New Roman" w:eastAsia="標楷體"/>
                <w:sz w:val="28"/>
                <w:szCs w:val="28"/>
              </w:rPr>
              <w:t>(</w:t>
            </w:r>
            <w:r>
              <w:rPr>
                <w:rFonts w:hint="eastAsia" w:ascii="Times New Roman" w:hAnsi="Times New Roman" w:eastAsia="標楷體"/>
                <w:sz w:val="28"/>
                <w:szCs w:val="28"/>
              </w:rPr>
              <w:t>C</w:t>
            </w:r>
            <w:r>
              <w:rPr>
                <w:rFonts w:ascii="Times New Roman" w:hAnsi="Times New Roman" w:eastAsia="標楷體"/>
                <w:sz w:val="28"/>
                <w:szCs w:val="28"/>
              </w:rPr>
              <w:t>) LHRH stimulation test : Abnormally low response: LH basal &lt;1.0IU/L, peak &lt;5.0IU/L</w:t>
            </w:r>
            <w:r>
              <w:rPr>
                <w:rFonts w:hint="eastAsia" w:ascii="Times New Roman" w:hAnsi="Times New Roman" w:eastAsia="標楷體"/>
                <w:sz w:val="28"/>
                <w:szCs w:val="28"/>
              </w:rPr>
              <w:t>；(D) 基因檢查發現致病性突變</w:t>
            </w:r>
          </w:p>
        </w:tc>
        <w:tc>
          <w:tcPr>
            <w:tcW w:w="801" w:type="pct"/>
            <w:tcBorders>
              <w:top w:val="single" w:color="000000" w:sz="4" w:space="0"/>
              <w:left w:val="single" w:color="000000" w:sz="4" w:space="0"/>
              <w:bottom w:val="single" w:color="000000" w:sz="4" w:space="0"/>
              <w:right w:val="single" w:color="000000" w:sz="4" w:space="0"/>
            </w:tcBorders>
          </w:tcPr>
          <w:p w14:paraId="1A31AC8D">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E94109D">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714E3358">
            <w:pPr>
              <w:pStyle w:val="14"/>
              <w:widowControl/>
              <w:numPr>
                <w:ilvl w:val="0"/>
                <w:numId w:val="68"/>
              </w:numPr>
              <w:adjustRightInd w:val="0"/>
              <w:snapToGrid w:val="0"/>
              <w:spacing w:line="320" w:lineRule="exact"/>
              <w:ind w:leftChars="0"/>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6014AEC7">
            <w:pPr>
              <w:pStyle w:val="14"/>
              <w:widowControl/>
              <w:numPr>
                <w:ilvl w:val="0"/>
                <w:numId w:val="68"/>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w:t>
            </w:r>
          </w:p>
          <w:p w14:paraId="17823466">
            <w:pPr>
              <w:pStyle w:val="14"/>
              <w:widowControl/>
              <w:numPr>
                <w:ilvl w:val="0"/>
                <w:numId w:val="68"/>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w:t>
            </w:r>
          </w:p>
          <w:p w14:paraId="7EB564C7">
            <w:pPr>
              <w:pStyle w:val="14"/>
              <w:widowControl/>
              <w:numPr>
                <w:ilvl w:val="0"/>
                <w:numId w:val="68"/>
              </w:numPr>
              <w:adjustRightInd w:val="0"/>
              <w:snapToGrid w:val="0"/>
              <w:spacing w:line="320" w:lineRule="exact"/>
              <w:ind w:left="357" w:leftChars="0" w:hanging="357"/>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5C6C965E">
        <w:tblPrEx>
          <w:tblCellMar>
            <w:top w:w="0" w:type="dxa"/>
            <w:left w:w="10" w:type="dxa"/>
            <w:bottom w:w="0" w:type="dxa"/>
            <w:right w:w="10" w:type="dxa"/>
          </w:tblCellMar>
        </w:tblPrEx>
        <w:trPr>
          <w:trHeight w:val="2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5508EB4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FFA6B95">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瓜胺酸血症 </w:t>
            </w:r>
          </w:p>
          <w:p w14:paraId="52365D2E">
            <w:pPr>
              <w:widowControl/>
              <w:adjustRightInd w:val="0"/>
              <w:snapToGrid w:val="0"/>
              <w:spacing w:line="320" w:lineRule="exact"/>
              <w:jc w:val="center"/>
              <w:rPr>
                <w:rFonts w:ascii="Times New Roman" w:hAnsi="Times New Roman" w:eastAsia="標楷體"/>
                <w:sz w:val="28"/>
                <w:szCs w:val="28"/>
              </w:rPr>
            </w:pPr>
            <w:r>
              <w:rPr>
                <w:rFonts w:ascii="Times New Roman" w:hAnsi="Times New Roman" w:eastAsia="標楷體"/>
                <w:sz w:val="28"/>
                <w:szCs w:val="28"/>
              </w:rPr>
              <w:t>(</w:t>
            </w:r>
            <w:r>
              <w:rPr>
                <w:rFonts w:hint="eastAsia" w:ascii="Times New Roman" w:hAnsi="Times New Roman" w:eastAsia="標楷體"/>
                <w:sz w:val="28"/>
                <w:szCs w:val="28"/>
              </w:rPr>
              <w:t>Citrullinemia</w:t>
            </w:r>
            <w:r>
              <w:rPr>
                <w:rFonts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AA18083">
            <w:pPr>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color w:val="000000"/>
                <w:sz w:val="28"/>
                <w:szCs w:val="28"/>
              </w:rPr>
              <w:t>符合臨床症狀及徵兆，排除其他疾病且具致病基因變異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70CBCA0C">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89AC7F2">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需檢附(1至3項為必要)：</w:t>
            </w:r>
          </w:p>
          <w:p w14:paraId="4ADE0F8E">
            <w:pPr>
              <w:widowControl/>
              <w:numPr>
                <w:ilvl w:val="0"/>
                <w:numId w:val="6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4CB2DEA1">
            <w:pPr>
              <w:widowControl/>
              <w:numPr>
                <w:ilvl w:val="0"/>
                <w:numId w:val="6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w:t>
            </w:r>
          </w:p>
          <w:p w14:paraId="6FCE00DE">
            <w:pPr>
              <w:widowControl/>
              <w:numPr>
                <w:ilvl w:val="0"/>
                <w:numId w:val="6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基因檢查結果</w:t>
            </w:r>
          </w:p>
          <w:p w14:paraId="551331DC">
            <w:pPr>
              <w:widowControl/>
              <w:numPr>
                <w:ilvl w:val="0"/>
                <w:numId w:val="6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其他檢查</w:t>
            </w:r>
          </w:p>
        </w:tc>
      </w:tr>
      <w:tr w14:paraId="41572E4F">
        <w:tblPrEx>
          <w:tblCellMar>
            <w:top w:w="0" w:type="dxa"/>
            <w:left w:w="10" w:type="dxa"/>
            <w:bottom w:w="0" w:type="dxa"/>
            <w:right w:w="10" w:type="dxa"/>
          </w:tblCellMar>
        </w:tblPrEx>
        <w:trPr>
          <w:trHeight w:val="3345"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8F1212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79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A5CF06D">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先天性血栓性血小板低下紫斑症</w:t>
            </w:r>
          </w:p>
          <w:p w14:paraId="65929C61">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(Congenital </w:t>
            </w:r>
            <w:r>
              <w:rPr>
                <w:rFonts w:ascii="Times New Roman" w:hAnsi="Times New Roman" w:eastAsia="標楷體"/>
                <w:sz w:val="28"/>
                <w:szCs w:val="28"/>
              </w:rPr>
              <w:t>t</w:t>
            </w:r>
            <w:r>
              <w:rPr>
                <w:rFonts w:hint="eastAsia" w:ascii="Times New Roman" w:hAnsi="Times New Roman" w:eastAsia="標楷體"/>
                <w:sz w:val="28"/>
                <w:szCs w:val="28"/>
              </w:rPr>
              <w:t xml:space="preserve">hrombotic </w:t>
            </w:r>
            <w:r>
              <w:rPr>
                <w:rFonts w:ascii="Times New Roman" w:hAnsi="Times New Roman" w:eastAsia="標楷體"/>
                <w:sz w:val="28"/>
                <w:szCs w:val="28"/>
              </w:rPr>
              <w:t>t</w:t>
            </w:r>
            <w:r>
              <w:rPr>
                <w:rFonts w:hint="eastAsia" w:ascii="Times New Roman" w:hAnsi="Times New Roman" w:eastAsia="標楷體"/>
                <w:sz w:val="28"/>
                <w:szCs w:val="28"/>
              </w:rPr>
              <w:t xml:space="preserve">hrombocytopenic </w:t>
            </w:r>
            <w:r>
              <w:rPr>
                <w:rFonts w:ascii="Times New Roman" w:hAnsi="Times New Roman" w:eastAsia="標楷體"/>
                <w:sz w:val="28"/>
                <w:szCs w:val="28"/>
              </w:rPr>
              <w:t>p</w:t>
            </w:r>
            <w:r>
              <w:rPr>
                <w:rFonts w:hint="eastAsia" w:ascii="Times New Roman" w:hAnsi="Times New Roman" w:eastAsia="標楷體"/>
                <w:sz w:val="28"/>
                <w:szCs w:val="28"/>
              </w:rPr>
              <w:t>urpura)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48617B2">
            <w:pPr>
              <w:adjustRightInd w:val="0"/>
              <w:snapToGrid w:val="0"/>
              <w:spacing w:line="380" w:lineRule="exact"/>
              <w:jc w:val="both"/>
              <w:rPr>
                <w:rFonts w:ascii="Times New Roman" w:hAnsi="Times New Roman" w:eastAsia="標楷體"/>
                <w:sz w:val="28"/>
                <w:szCs w:val="28"/>
              </w:rPr>
            </w:pPr>
            <w:r>
              <w:rPr>
                <w:rFonts w:hint="eastAsia" w:ascii="Times New Roman" w:hAnsi="Times New Roman" w:eastAsia="標楷體"/>
                <w:color w:val="000000"/>
                <w:sz w:val="28"/>
                <w:szCs w:val="28"/>
              </w:rPr>
              <w:t>符合臨床症狀及徵兆，且具致病基因變異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6747D510">
            <w:pPr>
              <w:adjustRightInd w:val="0"/>
              <w:snapToGrid w:val="0"/>
              <w:spacing w:line="38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0BE54A0">
            <w:pPr>
              <w:widowControl/>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w:t>
            </w:r>
            <w:r>
              <w:rPr>
                <w:rFonts w:ascii="Times New Roman" w:hAnsi="Times New Roman" w:eastAsia="標楷體"/>
                <w:color w:val="000000"/>
                <w:sz w:val="28"/>
                <w:szCs w:val="28"/>
              </w:rPr>
              <w:t>5</w:t>
            </w:r>
            <w:r>
              <w:rPr>
                <w:rFonts w:hint="eastAsia" w:ascii="Times New Roman" w:hAnsi="Times New Roman" w:eastAsia="標楷體"/>
                <w:color w:val="000000"/>
                <w:sz w:val="28"/>
                <w:szCs w:val="28"/>
              </w:rPr>
              <w:t>項為必要)：</w:t>
            </w:r>
          </w:p>
          <w:p w14:paraId="10C139FF">
            <w:pPr>
              <w:widowControl/>
              <w:numPr>
                <w:ilvl w:val="0"/>
                <w:numId w:val="70"/>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0B6976A6">
            <w:pPr>
              <w:widowControl/>
              <w:numPr>
                <w:ilvl w:val="0"/>
                <w:numId w:val="70"/>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w:t>
            </w:r>
          </w:p>
          <w:p w14:paraId="1318D520">
            <w:pPr>
              <w:widowControl/>
              <w:numPr>
                <w:ilvl w:val="0"/>
                <w:numId w:val="70"/>
              </w:numPr>
              <w:adjustRightInd w:val="0"/>
              <w:snapToGrid w:val="0"/>
              <w:spacing w:line="380" w:lineRule="exact"/>
              <w:rPr>
                <w:rFonts w:ascii="Times New Roman" w:hAnsi="Times New Roman" w:eastAsia="標楷體"/>
                <w:color w:val="000000"/>
                <w:sz w:val="28"/>
                <w:szCs w:val="28"/>
              </w:rPr>
            </w:pPr>
            <w:r>
              <w:rPr>
                <w:rFonts w:hint="eastAsia" w:ascii="Times New Roman" w:hAnsi="Times New Roman" w:eastAsia="標楷體"/>
                <w:color w:val="000000"/>
                <w:sz w:val="28"/>
                <w:szCs w:val="28"/>
              </w:rPr>
              <w:t>血中ADAMTS13蛋白活性及血中anti-ADAMTS13 antibody狀態</w:t>
            </w:r>
          </w:p>
          <w:p w14:paraId="49C5B901">
            <w:pPr>
              <w:widowControl/>
              <w:numPr>
                <w:ilvl w:val="0"/>
                <w:numId w:val="70"/>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基因檢查結果</w:t>
            </w:r>
          </w:p>
        </w:tc>
      </w:tr>
      <w:tr w14:paraId="66A53361">
        <w:tblPrEx>
          <w:tblCellMar>
            <w:top w:w="0" w:type="dxa"/>
            <w:left w:w="10" w:type="dxa"/>
            <w:bottom w:w="0" w:type="dxa"/>
            <w:right w:w="10" w:type="dxa"/>
          </w:tblCellMar>
        </w:tblPrEx>
        <w:trPr>
          <w:trHeight w:val="2324"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5CD368E">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5D9A019">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苯酮尿症</w:t>
            </w:r>
          </w:p>
          <w:p w14:paraId="1CB2A594">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Phenylketonuria</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C86D6E4">
            <w:p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符合實驗室檢驗報告為有意義的異常，且任一個基因有二個致病點位，符合隱性遺傳模式。</w:t>
            </w:r>
          </w:p>
        </w:tc>
        <w:tc>
          <w:tcPr>
            <w:tcW w:w="801" w:type="pct"/>
            <w:tcBorders>
              <w:top w:val="single" w:color="000000" w:sz="4" w:space="0"/>
              <w:left w:val="single" w:color="000000" w:sz="4" w:space="0"/>
              <w:bottom w:val="single" w:color="000000" w:sz="4" w:space="0"/>
              <w:right w:val="single" w:color="000000" w:sz="4" w:space="0"/>
            </w:tcBorders>
          </w:tcPr>
          <w:p w14:paraId="2BEE9E2E">
            <w:pPr>
              <w:adjustRightInd w:val="0"/>
              <w:snapToGrid w:val="0"/>
              <w:spacing w:line="38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C1A25A9">
            <w:pPr>
              <w:widowControl/>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需檢附(1至3項為必要)：</w:t>
            </w:r>
          </w:p>
          <w:p w14:paraId="79393963">
            <w:pPr>
              <w:widowControl/>
              <w:numPr>
                <w:ilvl w:val="0"/>
                <w:numId w:val="71"/>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1EACB629">
            <w:pPr>
              <w:widowControl/>
              <w:numPr>
                <w:ilvl w:val="0"/>
                <w:numId w:val="71"/>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w:t>
            </w:r>
          </w:p>
          <w:p w14:paraId="2401A374">
            <w:pPr>
              <w:widowControl/>
              <w:numPr>
                <w:ilvl w:val="0"/>
                <w:numId w:val="71"/>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基因檢查結果</w:t>
            </w:r>
          </w:p>
          <w:p w14:paraId="7C370AC5">
            <w:pPr>
              <w:widowControl/>
              <w:numPr>
                <w:ilvl w:val="0"/>
                <w:numId w:val="71"/>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其他檢查</w:t>
            </w:r>
          </w:p>
        </w:tc>
      </w:tr>
      <w:tr w14:paraId="72589002">
        <w:tblPrEx>
          <w:tblCellMar>
            <w:top w:w="0" w:type="dxa"/>
            <w:left w:w="10" w:type="dxa"/>
            <w:bottom w:w="0" w:type="dxa"/>
            <w:right w:w="10" w:type="dxa"/>
          </w:tblCellMar>
        </w:tblPrEx>
        <w:trPr>
          <w:trHeight w:val="2211" w:hRule="atLeast"/>
          <w:jc w:val="center"/>
        </w:trPr>
        <w:tc>
          <w:tcPr>
            <w:tcW w:w="265" w:type="pct"/>
            <w:vMerge w:val="restart"/>
            <w:tcBorders>
              <w:top w:val="single" w:color="000000" w:sz="4" w:space="0"/>
              <w:left w:val="single" w:color="000000" w:sz="4" w:space="0"/>
              <w:right w:val="single" w:color="000000" w:sz="4" w:space="0"/>
            </w:tcBorders>
            <w:vAlign w:val="center"/>
          </w:tcPr>
          <w:p w14:paraId="1DF9D83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733D3E1">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戊二酸尿症，第一型</w:t>
            </w:r>
          </w:p>
          <w:p w14:paraId="14E96EF5">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Glutaric aciduria type I, GA I</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527BD4">
            <w:pPr>
              <w:adjustRightInd w:val="0"/>
              <w:snapToGrid w:val="0"/>
              <w:spacing w:line="380" w:lineRule="exact"/>
              <w:jc w:val="both"/>
              <w:rPr>
                <w:rFonts w:ascii="Times New Roman" w:hAnsi="Times New Roman" w:eastAsia="標楷體"/>
                <w:b/>
                <w:bCs/>
                <w:color w:val="000000"/>
                <w:sz w:val="28"/>
                <w:szCs w:val="28"/>
              </w:rPr>
            </w:pPr>
            <w:r>
              <w:rPr>
                <w:rFonts w:hint="eastAsia" w:ascii="Times New Roman" w:hAnsi="Times New Roman" w:eastAsia="標楷體"/>
                <w:color w:val="000000"/>
                <w:sz w:val="28"/>
                <w:szCs w:val="28"/>
              </w:rPr>
              <w:t>符合臨床症狀及徵兆，具致病性雙等位基因突變</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29655127">
            <w:pPr>
              <w:adjustRightInd w:val="0"/>
              <w:snapToGrid w:val="0"/>
              <w:spacing w:line="38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F77A015">
            <w:pPr>
              <w:widowControl/>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需檢附(1至3項為必要)：</w:t>
            </w:r>
          </w:p>
          <w:p w14:paraId="0B452A90">
            <w:pPr>
              <w:widowControl/>
              <w:numPr>
                <w:ilvl w:val="0"/>
                <w:numId w:val="72"/>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39424408">
            <w:pPr>
              <w:widowControl/>
              <w:numPr>
                <w:ilvl w:val="0"/>
                <w:numId w:val="72"/>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w:t>
            </w:r>
          </w:p>
          <w:p w14:paraId="172F353E">
            <w:pPr>
              <w:widowControl/>
              <w:numPr>
                <w:ilvl w:val="0"/>
                <w:numId w:val="72"/>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2EE7168B">
            <w:pPr>
              <w:widowControl/>
              <w:numPr>
                <w:ilvl w:val="0"/>
                <w:numId w:val="72"/>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w:t>
            </w:r>
          </w:p>
        </w:tc>
      </w:tr>
      <w:tr w14:paraId="7FD1374C">
        <w:tblPrEx>
          <w:tblCellMar>
            <w:top w:w="0" w:type="dxa"/>
            <w:left w:w="10" w:type="dxa"/>
            <w:bottom w:w="0" w:type="dxa"/>
            <w:right w:w="10" w:type="dxa"/>
          </w:tblCellMar>
        </w:tblPrEx>
        <w:trPr>
          <w:trHeight w:val="2268" w:hRule="atLeast"/>
          <w:jc w:val="center"/>
        </w:trPr>
        <w:tc>
          <w:tcPr>
            <w:tcW w:w="265" w:type="pct"/>
            <w:vMerge w:val="continue"/>
            <w:tcBorders>
              <w:left w:val="single" w:color="000000" w:sz="4" w:space="0"/>
              <w:bottom w:val="single" w:color="000000" w:sz="4" w:space="0"/>
              <w:right w:val="single" w:color="000000" w:sz="4" w:space="0"/>
            </w:tcBorders>
            <w:vAlign w:val="center"/>
          </w:tcPr>
          <w:p w14:paraId="39FE1E95">
            <w:pPr>
              <w:widowControl/>
              <w:adjustRightInd w:val="0"/>
              <w:snapToGrid w:val="0"/>
              <w:spacing w:line="320" w:lineRule="exact"/>
              <w:jc w:val="center"/>
              <w:rPr>
                <w:rFonts w:ascii="Times New Roman" w:hAnsi="Times New Roman" w:eastAsia="標楷體"/>
                <w:color w:val="000000"/>
                <w:sz w:val="28"/>
                <w:szCs w:val="28"/>
              </w:rPr>
            </w:pP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8A3650E">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戊二酸尿症，第二型</w:t>
            </w:r>
          </w:p>
          <w:p w14:paraId="64E810BE">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Glutaric aciduria type II, GA II</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5D74854">
            <w:p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符合符合必要之代謝生化指標，且具兩個等位基因致病基因變異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EFE894C">
            <w:pPr>
              <w:adjustRightInd w:val="0"/>
              <w:snapToGrid w:val="0"/>
              <w:spacing w:line="38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4C4A382">
            <w:pPr>
              <w:widowControl/>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需檢附(1至3項為必要)：</w:t>
            </w:r>
          </w:p>
          <w:p w14:paraId="56C1707E">
            <w:pPr>
              <w:widowControl/>
              <w:numPr>
                <w:ilvl w:val="0"/>
                <w:numId w:val="73"/>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56056970">
            <w:pPr>
              <w:widowControl/>
              <w:numPr>
                <w:ilvl w:val="0"/>
                <w:numId w:val="73"/>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w:t>
            </w:r>
          </w:p>
          <w:p w14:paraId="4B6F1E4F">
            <w:pPr>
              <w:widowControl/>
              <w:numPr>
                <w:ilvl w:val="0"/>
                <w:numId w:val="73"/>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25E5E6BA">
            <w:pPr>
              <w:widowControl/>
              <w:numPr>
                <w:ilvl w:val="0"/>
                <w:numId w:val="73"/>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tc>
      </w:tr>
      <w:tr w14:paraId="0F5921CB">
        <w:tblPrEx>
          <w:tblCellMar>
            <w:top w:w="0" w:type="dxa"/>
            <w:left w:w="10" w:type="dxa"/>
            <w:bottom w:w="0" w:type="dxa"/>
            <w:right w:w="10" w:type="dxa"/>
          </w:tblCellMar>
        </w:tblPrEx>
        <w:trPr>
          <w:trHeight w:val="209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F08C7AA">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65CB854">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外胚層增生不良症</w:t>
            </w:r>
          </w:p>
          <w:p w14:paraId="2EE07876">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(Ectodermal dysplasia)</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47A0714">
            <w:p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符合必要臨床症狀及徵兆，相關檢查報告異常，及具致病基因變異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86E7DA9">
            <w:pPr>
              <w:adjustRightInd w:val="0"/>
              <w:snapToGrid w:val="0"/>
              <w:spacing w:line="38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FA8C526">
            <w:pPr>
              <w:widowControl/>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w:t>
            </w:r>
            <w:r>
              <w:rPr>
                <w:rFonts w:ascii="Times New Roman" w:hAnsi="Times New Roman" w:eastAsia="標楷體"/>
                <w:color w:val="000000"/>
                <w:sz w:val="28"/>
                <w:szCs w:val="28"/>
              </w:rPr>
              <w:t>3</w:t>
            </w:r>
            <w:r>
              <w:rPr>
                <w:rFonts w:hint="eastAsia" w:ascii="Times New Roman" w:hAnsi="Times New Roman" w:eastAsia="標楷體"/>
                <w:color w:val="000000"/>
                <w:sz w:val="28"/>
                <w:szCs w:val="28"/>
              </w:rPr>
              <w:t>項為必要)：</w:t>
            </w:r>
          </w:p>
          <w:p w14:paraId="18A02FC1">
            <w:pPr>
              <w:widowControl/>
              <w:numPr>
                <w:ilvl w:val="0"/>
                <w:numId w:val="74"/>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7030ED4C">
            <w:pPr>
              <w:widowControl/>
              <w:numPr>
                <w:ilvl w:val="0"/>
                <w:numId w:val="74"/>
              </w:numPr>
              <w:adjustRightInd w:val="0"/>
              <w:snapToGrid w:val="0"/>
              <w:spacing w:line="380" w:lineRule="exact"/>
              <w:rPr>
                <w:rFonts w:ascii="Times New Roman" w:hAnsi="Times New Roman" w:eastAsia="標楷體"/>
                <w:color w:val="000000"/>
                <w:sz w:val="28"/>
                <w:szCs w:val="28"/>
              </w:rPr>
            </w:pPr>
            <w:r>
              <w:rPr>
                <w:rFonts w:hint="eastAsia" w:ascii="Times New Roman" w:hAnsi="Times New Roman" w:eastAsia="標楷體"/>
                <w:color w:val="000000"/>
                <w:sz w:val="28"/>
                <w:szCs w:val="28"/>
              </w:rPr>
              <w:t>相關檢查報告</w:t>
            </w:r>
          </w:p>
          <w:p w14:paraId="11D76562">
            <w:pPr>
              <w:widowControl/>
              <w:numPr>
                <w:ilvl w:val="0"/>
                <w:numId w:val="74"/>
              </w:numPr>
              <w:adjustRightInd w:val="0"/>
              <w:snapToGrid w:val="0"/>
              <w:spacing w:line="380" w:lineRule="exact"/>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6F6EAB15">
        <w:tblPrEx>
          <w:tblCellMar>
            <w:top w:w="0" w:type="dxa"/>
            <w:left w:w="10" w:type="dxa"/>
            <w:bottom w:w="0" w:type="dxa"/>
            <w:right w:w="10" w:type="dxa"/>
          </w:tblCellMar>
        </w:tblPrEx>
        <w:trPr>
          <w:trHeight w:val="244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60F9A76">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3F51624">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同基因合子蛋白質C缺乏症</w:t>
            </w:r>
          </w:p>
          <w:p w14:paraId="7FA59BF9">
            <w:pPr>
              <w:widowControl/>
              <w:adjustRightInd w:val="0"/>
              <w:snapToGrid w:val="0"/>
              <w:spacing w:line="380" w:lineRule="exact"/>
              <w:jc w:val="center"/>
              <w:rPr>
                <w:rFonts w:ascii="Times New Roman" w:hAnsi="Times New Roman" w:eastAsia="標楷體"/>
                <w:sz w:val="28"/>
                <w:szCs w:val="28"/>
              </w:rPr>
            </w:pPr>
            <w:r>
              <w:rPr>
                <w:rFonts w:hint="eastAsia" w:ascii="Times New Roman" w:hAnsi="Times New Roman" w:eastAsia="標楷體"/>
                <w:sz w:val="28"/>
                <w:szCs w:val="28"/>
              </w:rPr>
              <w:t>(Homozygous protein C deficiency)</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F5D8A02">
            <w:p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符合明確之臨床症狀及徵兆、檢驗報告（含Protein C缺乏之實驗數據）及基因檢測確認</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12842D98">
            <w:pPr>
              <w:adjustRightInd w:val="0"/>
              <w:snapToGrid w:val="0"/>
              <w:spacing w:line="38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8053BFC">
            <w:pPr>
              <w:widowControl/>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3735D3AB">
            <w:pPr>
              <w:widowControl/>
              <w:numPr>
                <w:ilvl w:val="0"/>
                <w:numId w:val="75"/>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6FFB7467">
            <w:pPr>
              <w:widowControl/>
              <w:numPr>
                <w:ilvl w:val="0"/>
                <w:numId w:val="75"/>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w:t>
            </w:r>
          </w:p>
          <w:p w14:paraId="4F0202D2">
            <w:pPr>
              <w:widowControl/>
              <w:numPr>
                <w:ilvl w:val="0"/>
                <w:numId w:val="75"/>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73D5E2E7">
            <w:pPr>
              <w:widowControl/>
              <w:numPr>
                <w:ilvl w:val="0"/>
                <w:numId w:val="75"/>
              </w:numPr>
              <w:adjustRightInd w:val="0"/>
              <w:snapToGrid w:val="0"/>
              <w:spacing w:line="38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影像學報告</w:t>
            </w:r>
          </w:p>
        </w:tc>
      </w:tr>
      <w:tr w14:paraId="60EE96FF">
        <w:tblPrEx>
          <w:tblCellMar>
            <w:top w:w="0" w:type="dxa"/>
            <w:left w:w="10" w:type="dxa"/>
            <w:bottom w:w="0" w:type="dxa"/>
            <w:right w:w="10" w:type="dxa"/>
          </w:tblCellMar>
        </w:tblPrEx>
        <w:trPr>
          <w:trHeight w:val="5159"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643B2AD">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4F3BE98">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黏多醣症</w:t>
            </w:r>
          </w:p>
          <w:p w14:paraId="6E2A536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Mucopolysaccharidoses</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40275D1">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1)</w:t>
            </w:r>
            <w:r>
              <w:rPr>
                <w:rFonts w:hint="eastAsia" w:ascii="Times New Roman" w:hAnsi="Times New Roman" w:eastAsia="標楷體"/>
                <w:sz w:val="28"/>
                <w:szCs w:val="28"/>
              </w:rPr>
              <w:t>「新生兒</w:t>
            </w:r>
            <w:r>
              <w:rPr>
                <w:rFonts w:hint="eastAsia" w:ascii="Times New Roman" w:hAnsi="Times New Roman" w:eastAsia="標楷體"/>
                <w:color w:val="000000"/>
                <w:sz w:val="28"/>
                <w:szCs w:val="28"/>
              </w:rPr>
              <w:t>代謝篩檢陽性</w:t>
            </w:r>
            <w:r>
              <w:rPr>
                <w:rFonts w:hint="eastAsia" w:ascii="Times New Roman" w:hAnsi="Times New Roman" w:eastAsia="標楷體"/>
                <w:sz w:val="28"/>
                <w:szCs w:val="28"/>
              </w:rPr>
              <w:t>個案</w:t>
            </w:r>
            <w:r>
              <w:rPr>
                <w:rFonts w:hint="eastAsia" w:ascii="Times New Roman" w:hAnsi="Times New Roman" w:eastAsia="標楷體"/>
                <w:color w:val="000000"/>
                <w:sz w:val="28"/>
                <w:szCs w:val="28"/>
              </w:rPr>
              <w:t>符合實驗室檢驗、影像學檢查異常，且具致病性基因異常</w:t>
            </w:r>
            <w:r>
              <w:rPr>
                <w:rFonts w:hint="eastAsia" w:ascii="Times New Roman" w:hAnsi="Times New Roman" w:eastAsia="標楷體"/>
                <w:sz w:val="28"/>
                <w:szCs w:val="28"/>
              </w:rPr>
              <w:t>；或</w:t>
            </w:r>
          </w:p>
          <w:p w14:paraId="68CDF42C">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(2)</w:t>
            </w:r>
            <w:r>
              <w:rPr>
                <w:rFonts w:hint="eastAsia" w:ascii="Times New Roman" w:hAnsi="Times New Roman" w:eastAsia="標楷體"/>
                <w:color w:val="000000"/>
                <w:sz w:val="28"/>
                <w:szCs w:val="28"/>
              </w:rPr>
              <w:t>非新生兒</w:t>
            </w:r>
            <w:r>
              <w:rPr>
                <w:rFonts w:hint="eastAsia" w:ascii="Times New Roman" w:hAnsi="Times New Roman" w:eastAsia="標楷體"/>
                <w:sz w:val="28"/>
                <w:szCs w:val="28"/>
              </w:rPr>
              <w:t>個案</w:t>
            </w:r>
            <w:r>
              <w:rPr>
                <w:rFonts w:hint="eastAsia" w:ascii="Times New Roman" w:hAnsi="Times New Roman" w:eastAsia="標楷體"/>
                <w:color w:val="000000"/>
                <w:sz w:val="28"/>
                <w:szCs w:val="28"/>
              </w:rPr>
              <w:t>符合各器官系統中至少一系統具有一項或一項以上之臨床症狀及徵兆、實驗室檢驗為有意義的異常、影像學檢查報告具一項或一項以上之異常且具致病性基因異常。</w:t>
            </w:r>
          </w:p>
        </w:tc>
        <w:tc>
          <w:tcPr>
            <w:tcW w:w="801" w:type="pct"/>
            <w:tcBorders>
              <w:top w:val="single" w:color="000000" w:sz="4" w:space="0"/>
              <w:left w:val="single" w:color="000000" w:sz="4" w:space="0"/>
              <w:bottom w:val="single" w:color="000000" w:sz="4" w:space="0"/>
              <w:right w:val="single" w:color="000000" w:sz="4" w:space="0"/>
            </w:tcBorders>
          </w:tcPr>
          <w:p w14:paraId="401D3BE3">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D2B111">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需檢附(1至6項為必要)：</w:t>
            </w:r>
          </w:p>
          <w:p w14:paraId="4BDFAEF8">
            <w:pPr>
              <w:widowControl/>
              <w:numPr>
                <w:ilvl w:val="0"/>
                <w:numId w:val="7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1206ADEA">
            <w:pPr>
              <w:widowControl/>
              <w:numPr>
                <w:ilvl w:val="0"/>
                <w:numId w:val="7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酵素檢測報告</w:t>
            </w:r>
          </w:p>
          <w:p w14:paraId="254AB503">
            <w:pPr>
              <w:widowControl/>
              <w:numPr>
                <w:ilvl w:val="0"/>
                <w:numId w:val="7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3E0F071C">
            <w:pPr>
              <w:widowControl/>
              <w:numPr>
                <w:ilvl w:val="0"/>
                <w:numId w:val="7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 xml:space="preserve">尿液醣胺聚醣的總量檢測(DMB/Cre. Ratio) </w:t>
            </w:r>
          </w:p>
          <w:p w14:paraId="128277CF">
            <w:pPr>
              <w:widowControl/>
              <w:numPr>
                <w:ilvl w:val="0"/>
                <w:numId w:val="7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尿液醣胺聚醣衍生、組構之雙醣單位定性(二次元電泳)或定量檢測(液相層析串聯式質譜分析;LC-MS/MS assay)檢測報告</w:t>
            </w:r>
          </w:p>
          <w:p w14:paraId="3C8F4FA1">
            <w:pPr>
              <w:widowControl/>
              <w:numPr>
                <w:ilvl w:val="0"/>
                <w:numId w:val="7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影像檢查報告</w:t>
            </w:r>
          </w:p>
        </w:tc>
      </w:tr>
      <w:tr w14:paraId="6EC7BB93">
        <w:tblPrEx>
          <w:tblCellMar>
            <w:top w:w="0" w:type="dxa"/>
            <w:left w:w="10" w:type="dxa"/>
            <w:bottom w:w="0" w:type="dxa"/>
            <w:right w:w="10" w:type="dxa"/>
          </w:tblCellMar>
        </w:tblPrEx>
        <w:trPr>
          <w:trHeight w:val="2718"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BD7C1B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E7A8A0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 xml:space="preserve">Schaaf-Yang </w:t>
            </w:r>
          </w:p>
          <w:p w14:paraId="5A13070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症候群</w:t>
            </w:r>
          </w:p>
          <w:p w14:paraId="4F2EE7C3">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(Schaaf-Yang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57E07DE">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sz w:val="28"/>
                <w:szCs w:val="28"/>
              </w:rPr>
              <w:t>符合四項必要臨床表徵(新生兒期全身肌張力低下、新生兒期遠端關節攣縮、新生兒期呼吸窘迫、發展遲緩/認知障礙)，且具致病基因變異。</w:t>
            </w:r>
          </w:p>
        </w:tc>
        <w:tc>
          <w:tcPr>
            <w:tcW w:w="801" w:type="pct"/>
            <w:tcBorders>
              <w:top w:val="single" w:color="000000" w:sz="4" w:space="0"/>
              <w:left w:val="single" w:color="000000" w:sz="4" w:space="0"/>
              <w:bottom w:val="single" w:color="000000" w:sz="4" w:space="0"/>
              <w:right w:val="single" w:color="000000" w:sz="4" w:space="0"/>
            </w:tcBorders>
          </w:tcPr>
          <w:p w14:paraId="5F00BC4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98BFF75">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需檢附(1至2項為必要)：</w:t>
            </w:r>
          </w:p>
          <w:p w14:paraId="3A39012F">
            <w:pPr>
              <w:widowControl/>
              <w:numPr>
                <w:ilvl w:val="0"/>
                <w:numId w:val="7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37EF3D6B">
            <w:pPr>
              <w:widowControl/>
              <w:numPr>
                <w:ilvl w:val="0"/>
                <w:numId w:val="7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3A44719F">
            <w:pPr>
              <w:widowControl/>
              <w:numPr>
                <w:ilvl w:val="0"/>
                <w:numId w:val="7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實驗室檢查報告</w:t>
            </w:r>
          </w:p>
        </w:tc>
      </w:tr>
      <w:tr w14:paraId="47513A95">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4AB371C9">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w:t>
            </w:r>
            <w:r>
              <w:rPr>
                <w:rFonts w:ascii="Times New Roman" w:hAnsi="Times New Roman" w:eastAsia="標楷體"/>
                <w:color w:val="000000"/>
                <w:sz w:val="28"/>
                <w:szCs w:val="28"/>
              </w:rPr>
              <w:t>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46E06BA">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Basilicata-Akhtar症候群</w:t>
            </w:r>
          </w:p>
          <w:p w14:paraId="6121152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Basilicata-Akhtar Syndrome</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D350036">
            <w:pPr>
              <w:widowControl/>
              <w:adjustRightInd w:val="0"/>
              <w:snapToGrid w:val="0"/>
              <w:spacing w:line="320" w:lineRule="exact"/>
              <w:jc w:val="both"/>
              <w:rPr>
                <w:rFonts w:ascii="Times New Roman" w:hAnsi="Times New Roman" w:eastAsia="標楷體"/>
                <w:sz w:val="28"/>
                <w:szCs w:val="28"/>
              </w:rPr>
            </w:pPr>
            <w:r>
              <w:rPr>
                <w:rFonts w:hint="eastAsia" w:ascii="Times New Roman" w:hAnsi="Times New Roman" w:eastAsia="標楷體"/>
                <w:color w:val="000000"/>
                <w:sz w:val="28"/>
                <w:szCs w:val="28"/>
              </w:rPr>
              <w:t>符合四項必要臨床症狀及徵兆，腦部核磁共振造影檢查報告異常，及具致病基因變異</w:t>
            </w:r>
            <w:r>
              <w:rPr>
                <w:rFonts w:ascii="Times New Roman" w:hAnsi="Times New Roman" w:eastAsia="標楷體"/>
                <w:sz w:val="28"/>
                <w:szCs w:val="28"/>
              </w:rPr>
              <w:t>。</w:t>
            </w:r>
          </w:p>
        </w:tc>
        <w:tc>
          <w:tcPr>
            <w:tcW w:w="801" w:type="pct"/>
            <w:tcBorders>
              <w:top w:val="single" w:color="000000" w:sz="4" w:space="0"/>
              <w:left w:val="single" w:color="000000" w:sz="4" w:space="0"/>
              <w:bottom w:val="single" w:color="000000" w:sz="4" w:space="0"/>
              <w:right w:val="single" w:color="000000" w:sz="4" w:space="0"/>
            </w:tcBorders>
          </w:tcPr>
          <w:p w14:paraId="0555F44F">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0D462D4">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需檢附(1至3項為必要)：</w:t>
            </w:r>
          </w:p>
          <w:p w14:paraId="0EE02FCB">
            <w:pPr>
              <w:widowControl/>
              <w:numPr>
                <w:ilvl w:val="0"/>
                <w:numId w:val="7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49962AE1">
            <w:pPr>
              <w:widowControl/>
              <w:numPr>
                <w:ilvl w:val="0"/>
                <w:numId w:val="7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腦部核磁共振造影檢查報告</w:t>
            </w:r>
          </w:p>
          <w:p w14:paraId="4D8A2243">
            <w:pPr>
              <w:widowControl/>
              <w:numPr>
                <w:ilvl w:val="0"/>
                <w:numId w:val="7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1D5CF574">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DA7BB9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6286EF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舞蹈症</w:t>
            </w:r>
            <w:r>
              <w:rPr>
                <w:rFonts w:ascii="Times New Roman" w:hAnsi="Times New Roman" w:eastAsia="標楷體"/>
                <w:sz w:val="28"/>
                <w:szCs w:val="28"/>
              </w:rPr>
              <w:t>-</w:t>
            </w:r>
            <w:r>
              <w:rPr>
                <w:rFonts w:hint="eastAsia" w:ascii="Times New Roman" w:hAnsi="Times New Roman" w:eastAsia="標楷體"/>
                <w:sz w:val="28"/>
                <w:szCs w:val="28"/>
              </w:rPr>
              <w:t>棘红细胞增多症</w:t>
            </w:r>
          </w:p>
          <w:p w14:paraId="16D3C0C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(Chorea-acanthocytosis，ChAc)</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49886D6">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符合至少一項必要主要表徵，腦部磁振造影檢查報告異常，及具致病基因變異。</w:t>
            </w:r>
          </w:p>
        </w:tc>
        <w:tc>
          <w:tcPr>
            <w:tcW w:w="801" w:type="pct"/>
            <w:tcBorders>
              <w:top w:val="single" w:color="000000" w:sz="4" w:space="0"/>
              <w:left w:val="single" w:color="000000" w:sz="4" w:space="0"/>
              <w:bottom w:val="single" w:color="000000" w:sz="4" w:space="0"/>
              <w:right w:val="single" w:color="000000" w:sz="4" w:space="0"/>
            </w:tcBorders>
          </w:tcPr>
          <w:p w14:paraId="7A799E13">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EAF7850">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需檢附(1至3項為必要)：</w:t>
            </w:r>
          </w:p>
          <w:p w14:paraId="1CA76EFB">
            <w:pPr>
              <w:widowControl/>
              <w:numPr>
                <w:ilvl w:val="0"/>
                <w:numId w:val="7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1C753C48">
            <w:pPr>
              <w:widowControl/>
              <w:numPr>
                <w:ilvl w:val="0"/>
                <w:numId w:val="7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腦部磁振造影檢查報告</w:t>
            </w:r>
          </w:p>
          <w:p w14:paraId="26B2330B">
            <w:pPr>
              <w:widowControl/>
              <w:numPr>
                <w:ilvl w:val="0"/>
                <w:numId w:val="7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448F5C10">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9865FEB">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77D49E9">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嚴重複合型免疫缺乏症</w:t>
            </w:r>
          </w:p>
          <w:p w14:paraId="531A6CD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(Severe Combined ImmunoDeficiency, SCID)</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E91D11E">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須符合：</w:t>
            </w:r>
          </w:p>
          <w:p w14:paraId="28BBF34B">
            <w:pPr>
              <w:widowControl/>
              <w:numPr>
                <w:ilvl w:val="0"/>
                <w:numId w:val="80"/>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臨床症狀(含篩檢)，實驗室檢驗報告顯示有嚴重CD3 T淋巴球低下(&lt; 300 cells/mm3)或CD4 naïve T淋巴球低下(占比&lt;20%)，與基因檢測找到符合遺傳模式之致病基因變異三項皆符合。</w:t>
            </w:r>
          </w:p>
          <w:p w14:paraId="37CF9130">
            <w:pPr>
              <w:widowControl/>
              <w:numPr>
                <w:ilvl w:val="0"/>
                <w:numId w:val="80"/>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臨床症狀(含篩檢) 符合且實驗室檢驗報告2次以上皆顯示有嚴重CD3 或CD4 naïve T淋巴球低下，雖基因檢測報告尚未找到基因變異，但淋巴增生功能 (Lymphocyte proliferation function) 低於正常10%。</w:t>
            </w:r>
          </w:p>
        </w:tc>
        <w:tc>
          <w:tcPr>
            <w:tcW w:w="801" w:type="pct"/>
            <w:tcBorders>
              <w:top w:val="single" w:color="000000" w:sz="4" w:space="0"/>
              <w:left w:val="single" w:color="000000" w:sz="4" w:space="0"/>
              <w:bottom w:val="single" w:color="000000" w:sz="4" w:space="0"/>
              <w:right w:val="single" w:color="000000" w:sz="4" w:space="0"/>
            </w:tcBorders>
          </w:tcPr>
          <w:p w14:paraId="3101A0AD">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8B60185">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需檢附(第1至2項及第4項為必要)：</w:t>
            </w:r>
          </w:p>
          <w:p w14:paraId="196507DC">
            <w:pPr>
              <w:widowControl/>
              <w:numPr>
                <w:ilvl w:val="0"/>
                <w:numId w:val="8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63CF141F">
            <w:pPr>
              <w:widowControl/>
              <w:numPr>
                <w:ilvl w:val="0"/>
                <w:numId w:val="8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7DBB4D5F">
            <w:pPr>
              <w:widowControl/>
              <w:numPr>
                <w:ilvl w:val="0"/>
                <w:numId w:val="8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影像學或特殊檢查檢查報告</w:t>
            </w:r>
          </w:p>
          <w:p w14:paraId="267DD634">
            <w:pPr>
              <w:widowControl/>
              <w:numPr>
                <w:ilvl w:val="0"/>
                <w:numId w:val="8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3D9AEBBC">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1BB66B29">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89</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039C5AF">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碳水化合缺乏醣蛋白症候群(先天性醣基化障礙) (Congenital Disorder of Glycosylation; CDG)</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361907D">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明確之致病基因變異，且具身體診察、神經學診察及實驗室檢查佐證資料證實符合二系統以上(含)之臨床症狀及徵兆，其遺傳模式屬臨床型-基因型吻合 (genotype-phenotype correlation) 之基因名稱-先天性醣基化障礙 (Gene name - CDG)。</w:t>
            </w:r>
          </w:p>
        </w:tc>
        <w:tc>
          <w:tcPr>
            <w:tcW w:w="801" w:type="pct"/>
            <w:tcBorders>
              <w:top w:val="single" w:color="000000" w:sz="4" w:space="0"/>
              <w:left w:val="single" w:color="000000" w:sz="4" w:space="0"/>
              <w:bottom w:val="single" w:color="000000" w:sz="4" w:space="0"/>
              <w:right w:val="single" w:color="000000" w:sz="4" w:space="0"/>
            </w:tcBorders>
          </w:tcPr>
          <w:p w14:paraId="50F0AA94">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586AFA4">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需檢附(1至4項為必要)：</w:t>
            </w:r>
          </w:p>
          <w:p w14:paraId="3B0CDB2E">
            <w:pPr>
              <w:widowControl/>
              <w:numPr>
                <w:ilvl w:val="0"/>
                <w:numId w:val="82"/>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77413AD1">
            <w:pPr>
              <w:widowControl/>
              <w:numPr>
                <w:ilvl w:val="0"/>
                <w:numId w:val="82"/>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2AAE3FBD">
            <w:pPr>
              <w:widowControl/>
              <w:numPr>
                <w:ilvl w:val="0"/>
                <w:numId w:val="82"/>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腦部核磁照影檢查</w:t>
            </w:r>
          </w:p>
          <w:p w14:paraId="3BCCDF2F">
            <w:pPr>
              <w:widowControl/>
              <w:numPr>
                <w:ilvl w:val="0"/>
                <w:numId w:val="82"/>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7CD44C41">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616160E">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90</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BB6D42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遺傳性出血性血管擴張症</w:t>
            </w:r>
          </w:p>
          <w:p w14:paraId="1858BC8E">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(Hereditary Hemorrhagic Telangiectasia; HHT)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AAAB8ED">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須符合：</w:t>
            </w:r>
          </w:p>
          <w:p w14:paraId="21CC765F">
            <w:pPr>
              <w:widowControl/>
              <w:numPr>
                <w:ilvl w:val="0"/>
                <w:numId w:val="83"/>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明確之致病基因變異，家族一等親(first-degree)中具確診者，具二項(含)以上必要之臨床症狀及徵兆，且經實驗室檢查及影像學檢查佐證資料證實，其遺傳模式符合臨床型-基因型吻合 (genotype-phenotype correlation) 之遺傳性出血性血管擴張症。</w:t>
            </w:r>
          </w:p>
          <w:p w14:paraId="1F46402C">
            <w:pPr>
              <w:widowControl/>
              <w:numPr>
                <w:ilvl w:val="0"/>
                <w:numId w:val="83"/>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明確之致病基因變異，無家族史，具三項必要之臨床症狀及徵兆，且經實驗室檢查及影像學檢查佐證資料證實，其遺傳模式符合臨床型-基因型吻合 (genotype-phenotype correlation) 之遺傳性出血性血管擴張症。</w:t>
            </w:r>
          </w:p>
        </w:tc>
        <w:tc>
          <w:tcPr>
            <w:tcW w:w="801" w:type="pct"/>
            <w:tcBorders>
              <w:top w:val="single" w:color="000000" w:sz="4" w:space="0"/>
              <w:left w:val="single" w:color="000000" w:sz="4" w:space="0"/>
              <w:bottom w:val="single" w:color="000000" w:sz="4" w:space="0"/>
              <w:right w:val="single" w:color="000000" w:sz="4" w:space="0"/>
            </w:tcBorders>
          </w:tcPr>
          <w:p w14:paraId="65188E61">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2DC6BBB">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需檢附(1至5項為必要)：</w:t>
            </w:r>
          </w:p>
          <w:p w14:paraId="3D1DCBE3">
            <w:pPr>
              <w:widowControl/>
              <w:numPr>
                <w:ilvl w:val="0"/>
                <w:numId w:val="8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3B238CF8">
            <w:pPr>
              <w:widowControl/>
              <w:numPr>
                <w:ilvl w:val="0"/>
                <w:numId w:val="8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459C13F0">
            <w:pPr>
              <w:widowControl/>
              <w:numPr>
                <w:ilvl w:val="0"/>
                <w:numId w:val="8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74FCCC32">
            <w:pPr>
              <w:widowControl/>
              <w:numPr>
                <w:ilvl w:val="0"/>
                <w:numId w:val="8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p w14:paraId="7A1B1A7E">
            <w:pPr>
              <w:widowControl/>
              <w:numPr>
                <w:ilvl w:val="0"/>
                <w:numId w:val="8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660E1F13">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E40335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91</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6730B9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Cockayne氏症候群(柯凱因氏症候群)</w:t>
            </w:r>
          </w:p>
          <w:p w14:paraId="3FFDBE1C">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(Cockayne Syndrome)</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473128A">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明確之ERCC6或ERCC8雙合子致病基因變異，且具2項必要及至少1項(含)選擇之臨床症狀及徵兆，其遺傳模式屬臨床型-基因型吻合 (genotype-phenotype correlation) 之Cockayne氏症候群(柯凱因氏症候群)。</w:t>
            </w:r>
          </w:p>
        </w:tc>
        <w:tc>
          <w:tcPr>
            <w:tcW w:w="801" w:type="pct"/>
            <w:tcBorders>
              <w:top w:val="single" w:color="000000" w:sz="4" w:space="0"/>
              <w:left w:val="single" w:color="000000" w:sz="4" w:space="0"/>
              <w:bottom w:val="single" w:color="000000" w:sz="4" w:space="0"/>
              <w:right w:val="single" w:color="000000" w:sz="4" w:space="0"/>
            </w:tcBorders>
          </w:tcPr>
          <w:p w14:paraId="4D9AEDDB">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745BA2E">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需檢附(第1、3及5項為必要)：</w:t>
            </w:r>
          </w:p>
          <w:p w14:paraId="79047736">
            <w:pPr>
              <w:widowControl/>
              <w:numPr>
                <w:ilvl w:val="0"/>
                <w:numId w:val="85"/>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3B5E402A">
            <w:pPr>
              <w:widowControl/>
              <w:numPr>
                <w:ilvl w:val="0"/>
                <w:numId w:val="85"/>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29D05451">
            <w:pPr>
              <w:widowControl/>
              <w:numPr>
                <w:ilvl w:val="0"/>
                <w:numId w:val="85"/>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腦部核磁共振影像</w:t>
            </w:r>
          </w:p>
          <w:p w14:paraId="7703E0AE">
            <w:pPr>
              <w:widowControl/>
              <w:numPr>
                <w:ilvl w:val="0"/>
                <w:numId w:val="85"/>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p w14:paraId="4BA3CD77">
            <w:pPr>
              <w:widowControl/>
              <w:numPr>
                <w:ilvl w:val="0"/>
                <w:numId w:val="85"/>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0CD7CD6D">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11F1FDA">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92</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694A74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假性軟骨發育不全</w:t>
            </w:r>
          </w:p>
          <w:p w14:paraId="4215B94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Pseudoachondroplastic dysplasia</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67197EB">
            <w:pPr>
              <w:widowControl/>
              <w:adjustRightInd w:val="0"/>
              <w:snapToGrid w:val="0"/>
              <w:spacing w:line="320" w:lineRule="exact"/>
              <w:jc w:val="both"/>
              <w:rPr>
                <w:rFonts w:hint="eastAsia" w:ascii="Times New Roman" w:hAnsi="Times New Roman" w:eastAsia="標楷體"/>
                <w:color w:val="000000"/>
                <w:sz w:val="28"/>
                <w:szCs w:val="28"/>
              </w:rPr>
            </w:pPr>
            <w:r>
              <w:rPr>
                <w:rFonts w:hint="eastAsia" w:ascii="Times New Roman" w:hAnsi="Times New Roman" w:eastAsia="標楷體"/>
                <w:color w:val="000000"/>
                <w:sz w:val="28"/>
                <w:szCs w:val="28"/>
              </w:rPr>
              <w:t>符合必要臨床症狀及徵兆三項，及符合遺傳模式之致病性基因變異。</w:t>
            </w:r>
          </w:p>
        </w:tc>
        <w:tc>
          <w:tcPr>
            <w:tcW w:w="801" w:type="pct"/>
            <w:tcBorders>
              <w:top w:val="single" w:color="000000" w:sz="4" w:space="0"/>
              <w:left w:val="single" w:color="000000" w:sz="4" w:space="0"/>
              <w:bottom w:val="single" w:color="000000" w:sz="4" w:space="0"/>
              <w:right w:val="single" w:color="000000" w:sz="4" w:space="0"/>
            </w:tcBorders>
          </w:tcPr>
          <w:p w14:paraId="5EDE00AA">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D949592">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需檢附(第1至3項為必要)：</w:t>
            </w:r>
          </w:p>
          <w:p w14:paraId="383AC387">
            <w:pPr>
              <w:widowControl/>
              <w:numPr>
                <w:ilvl w:val="0"/>
                <w:numId w:val="8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62DADF11">
            <w:pPr>
              <w:widowControl/>
              <w:numPr>
                <w:ilvl w:val="0"/>
                <w:numId w:val="8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影像檢查報告</w:t>
            </w:r>
          </w:p>
          <w:p w14:paraId="05CC61FD">
            <w:pPr>
              <w:widowControl/>
              <w:numPr>
                <w:ilvl w:val="0"/>
                <w:numId w:val="86"/>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74290F75">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0A379213">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93</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CF0DD91">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中心軸空肌病</w:t>
            </w:r>
          </w:p>
          <w:p w14:paraId="10EB87C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Central core disease</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C46920">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符合必要臨床症狀及徵兆，肌肉切片組織學報告異常，神經電生理檢查異常以及符合遺傳模式之致病性基因變異。</w:t>
            </w:r>
          </w:p>
        </w:tc>
        <w:tc>
          <w:tcPr>
            <w:tcW w:w="801" w:type="pct"/>
            <w:tcBorders>
              <w:top w:val="single" w:color="000000" w:sz="4" w:space="0"/>
              <w:left w:val="single" w:color="000000" w:sz="4" w:space="0"/>
              <w:bottom w:val="single" w:color="000000" w:sz="4" w:space="0"/>
              <w:right w:val="single" w:color="000000" w:sz="4" w:space="0"/>
            </w:tcBorders>
          </w:tcPr>
          <w:p w14:paraId="2801AFAE">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3A225E">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需檢附(第1至4及7項為必要)：</w:t>
            </w:r>
          </w:p>
          <w:p w14:paraId="2E45116B">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550C50D7">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5373AD13">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p w14:paraId="10101613">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電生理檢查報告</w:t>
            </w:r>
          </w:p>
          <w:p w14:paraId="2ECCF26F">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肺功能檢查報告</w:t>
            </w:r>
          </w:p>
          <w:p w14:paraId="331CFAD4">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影像檢查報告</w:t>
            </w:r>
          </w:p>
          <w:p w14:paraId="63BD6719">
            <w:pPr>
              <w:widowControl/>
              <w:numPr>
                <w:ilvl w:val="0"/>
                <w:numId w:val="87"/>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肌肉切片檢查報告</w:t>
            </w:r>
          </w:p>
        </w:tc>
      </w:tr>
      <w:tr w14:paraId="6236A3AD">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7B1EA1F2">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94</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2E76CD">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水泡型先天性魚鱗癬樣紅皮症(表皮鬆解性角化過度症)</w:t>
            </w:r>
          </w:p>
          <w:p w14:paraId="6137C3D0">
            <w:pPr>
              <w:widowControl/>
              <w:adjustRightInd w:val="0"/>
              <w:snapToGrid w:val="0"/>
              <w:spacing w:line="320" w:lineRule="exact"/>
              <w:jc w:val="center"/>
              <w:rPr>
                <w:rFonts w:hint="eastAsia"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Bullous congenital ichthyosiform erythoderma (epidermolytic hyperkeratosis)</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35FE8FE">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符合臨床症狀及徵兆至少</w:t>
            </w:r>
            <w:r>
              <w:rPr>
                <w:rFonts w:ascii="Times New Roman" w:hAnsi="Times New Roman" w:eastAsia="標楷體"/>
                <w:color w:val="000000"/>
                <w:sz w:val="28"/>
                <w:szCs w:val="28"/>
              </w:rPr>
              <w:t>(</w:t>
            </w:r>
            <w:r>
              <w:rPr>
                <w:rFonts w:hint="eastAsia" w:ascii="Times New Roman" w:hAnsi="Times New Roman" w:eastAsia="標楷體"/>
                <w:color w:val="000000"/>
                <w:sz w:val="28"/>
                <w:szCs w:val="28"/>
              </w:rPr>
              <w:t>含</w:t>
            </w:r>
            <w:r>
              <w:rPr>
                <w:rFonts w:ascii="Times New Roman" w:hAnsi="Times New Roman" w:eastAsia="標楷體"/>
                <w:color w:val="000000"/>
                <w:sz w:val="28"/>
                <w:szCs w:val="28"/>
              </w:rPr>
              <w:t>)</w:t>
            </w:r>
            <w:r>
              <w:rPr>
                <w:rFonts w:hint="eastAsia" w:ascii="Times New Roman" w:hAnsi="Times New Roman" w:eastAsia="標楷體"/>
                <w:color w:val="000000"/>
                <w:sz w:val="28"/>
                <w:szCs w:val="28"/>
              </w:rPr>
              <w:t>三項、病理切片異常、電子顯微鏡檢查符合水泡型先天性魚鱗癬樣紅皮症</w:t>
            </w:r>
            <w:r>
              <w:rPr>
                <w:rFonts w:ascii="Times New Roman" w:hAnsi="Times New Roman" w:eastAsia="標楷體"/>
                <w:color w:val="000000"/>
                <w:sz w:val="28"/>
                <w:szCs w:val="28"/>
              </w:rPr>
              <w:t>(</w:t>
            </w:r>
            <w:r>
              <w:rPr>
                <w:rFonts w:hint="eastAsia" w:ascii="Times New Roman" w:hAnsi="Times New Roman" w:eastAsia="標楷體"/>
                <w:color w:val="000000"/>
                <w:sz w:val="28"/>
                <w:szCs w:val="28"/>
              </w:rPr>
              <w:t>表皮鬆解性角化過度症</w:t>
            </w:r>
            <w:r>
              <w:rPr>
                <w:rFonts w:ascii="Times New Roman" w:hAnsi="Times New Roman" w:eastAsia="標楷體"/>
                <w:color w:val="000000"/>
                <w:sz w:val="28"/>
                <w:szCs w:val="28"/>
              </w:rPr>
              <w:t>)</w:t>
            </w:r>
            <w:r>
              <w:rPr>
                <w:rFonts w:hint="eastAsia" w:ascii="Times New Roman" w:hAnsi="Times New Roman" w:eastAsia="標楷體"/>
                <w:color w:val="000000"/>
                <w:sz w:val="28"/>
                <w:szCs w:val="28"/>
              </w:rPr>
              <w:t>，及符合遺傳模式之致病性基因變異。</w:t>
            </w:r>
          </w:p>
        </w:tc>
        <w:tc>
          <w:tcPr>
            <w:tcW w:w="801" w:type="pct"/>
            <w:tcBorders>
              <w:top w:val="single" w:color="000000" w:sz="4" w:space="0"/>
              <w:left w:val="single" w:color="000000" w:sz="4" w:space="0"/>
              <w:bottom w:val="single" w:color="000000" w:sz="4" w:space="0"/>
              <w:right w:val="single" w:color="000000" w:sz="4" w:space="0"/>
            </w:tcBorders>
          </w:tcPr>
          <w:p w14:paraId="017A175E">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A392801">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需檢附(第1至3項為必要)：</w:t>
            </w:r>
          </w:p>
          <w:p w14:paraId="2DC0ACC5">
            <w:pPr>
              <w:widowControl/>
              <w:numPr>
                <w:ilvl w:val="0"/>
                <w:numId w:val="8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08A50826">
            <w:pPr>
              <w:widowControl/>
              <w:numPr>
                <w:ilvl w:val="0"/>
                <w:numId w:val="8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特殊檢查報告</w:t>
            </w:r>
          </w:p>
          <w:p w14:paraId="43DF2260">
            <w:pPr>
              <w:widowControl/>
              <w:numPr>
                <w:ilvl w:val="0"/>
                <w:numId w:val="88"/>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39CC26A1">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30D34786">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95</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443929B">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楓糖尿症</w:t>
            </w:r>
          </w:p>
          <w:p w14:paraId="346BB6BF">
            <w:pPr>
              <w:widowControl/>
              <w:adjustRightInd w:val="0"/>
              <w:snapToGrid w:val="0"/>
              <w:spacing w:line="320" w:lineRule="exact"/>
              <w:jc w:val="center"/>
              <w:rPr>
                <w:rFonts w:hint="eastAsia"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Maple syrup urine disease</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3F2D0C3">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須符合：</w:t>
            </w:r>
          </w:p>
          <w:p w14:paraId="76AA873A">
            <w:pPr>
              <w:widowControl/>
              <w:numPr>
                <w:ilvl w:val="0"/>
                <w:numId w:val="8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臨床症狀及徵兆除新生兒代謝篩檢陽性個案可無症狀外，其他個案至少出現一項。</w:t>
            </w:r>
          </w:p>
          <w:p w14:paraId="3DBDA520">
            <w:pPr>
              <w:widowControl/>
              <w:numPr>
                <w:ilvl w:val="0"/>
                <w:numId w:val="89"/>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實驗室檢驗報告為有意義的異常:血漿支鏈胺基酸和尿液有機酸升高。</w:t>
            </w:r>
          </w:p>
          <w:p w14:paraId="234E99C6">
            <w:pPr>
              <w:widowControl/>
              <w:numPr>
                <w:ilvl w:val="0"/>
                <w:numId w:val="89"/>
              </w:numPr>
              <w:adjustRightInd w:val="0"/>
              <w:snapToGrid w:val="0"/>
              <w:spacing w:line="320" w:lineRule="exact"/>
              <w:jc w:val="both"/>
              <w:rPr>
                <w:rFonts w:ascii="Times New Roman" w:hAnsi="Times New Roman" w:eastAsia="標楷體"/>
                <w:color w:val="000000"/>
                <w:sz w:val="28"/>
                <w:szCs w:val="28"/>
              </w:rPr>
            </w:pPr>
            <w:r>
              <w:rPr>
                <w:rFonts w:ascii="Times New Roman" w:hAnsi="Times New Roman" w:eastAsia="標楷體"/>
                <w:i/>
                <w:iCs/>
                <w:color w:val="000000"/>
                <w:sz w:val="28"/>
                <w:szCs w:val="28"/>
              </w:rPr>
              <w:t>BCKDHA(E1α)</w:t>
            </w:r>
            <w:r>
              <w:rPr>
                <w:rFonts w:hint="eastAsia" w:ascii="Times New Roman" w:hAnsi="Times New Roman" w:eastAsia="標楷體"/>
                <w:i/>
                <w:iCs/>
                <w:color w:val="000000"/>
                <w:sz w:val="28"/>
                <w:szCs w:val="28"/>
              </w:rPr>
              <w:t>、</w:t>
            </w:r>
            <w:r>
              <w:rPr>
                <w:rFonts w:ascii="Times New Roman" w:hAnsi="Times New Roman" w:eastAsia="標楷體"/>
                <w:i/>
                <w:iCs/>
                <w:color w:val="000000"/>
                <w:sz w:val="28"/>
                <w:szCs w:val="28"/>
              </w:rPr>
              <w:t>BCKDHB(E1β)</w:t>
            </w:r>
            <w:r>
              <w:rPr>
                <w:rFonts w:hint="eastAsia" w:ascii="Times New Roman" w:hAnsi="Times New Roman" w:eastAsia="標楷體"/>
                <w:i/>
                <w:iCs/>
                <w:color w:val="000000"/>
                <w:sz w:val="28"/>
                <w:szCs w:val="28"/>
              </w:rPr>
              <w:t>、</w:t>
            </w:r>
            <w:r>
              <w:rPr>
                <w:rFonts w:ascii="Times New Roman" w:hAnsi="Times New Roman" w:eastAsia="標楷體"/>
                <w:i/>
                <w:iCs/>
                <w:color w:val="000000"/>
                <w:sz w:val="28"/>
                <w:szCs w:val="28"/>
              </w:rPr>
              <w:t>DBT(E2)</w:t>
            </w:r>
            <w:r>
              <w:rPr>
                <w:rFonts w:hint="eastAsia" w:ascii="Times New Roman" w:hAnsi="Times New Roman" w:eastAsia="標楷體"/>
                <w:color w:val="000000"/>
                <w:sz w:val="28"/>
                <w:szCs w:val="28"/>
              </w:rPr>
              <w:t>或</w:t>
            </w:r>
            <w:r>
              <w:rPr>
                <w:rFonts w:ascii="Times New Roman" w:hAnsi="Times New Roman" w:eastAsia="標楷體"/>
                <w:i/>
                <w:iCs/>
                <w:color w:val="000000"/>
                <w:sz w:val="28"/>
                <w:szCs w:val="28"/>
              </w:rPr>
              <w:t>DLD(E3)</w:t>
            </w:r>
            <w:r>
              <w:rPr>
                <w:rFonts w:hint="eastAsia" w:ascii="Times New Roman" w:hAnsi="Times New Roman" w:eastAsia="標楷體"/>
                <w:color w:val="000000"/>
                <w:sz w:val="28"/>
                <w:szCs w:val="28"/>
              </w:rPr>
              <w:t>兩個等位基因有致病性變異，符合體染色體隱性遺傳模式。</w:t>
            </w:r>
          </w:p>
        </w:tc>
        <w:tc>
          <w:tcPr>
            <w:tcW w:w="801" w:type="pct"/>
            <w:tcBorders>
              <w:top w:val="single" w:color="000000" w:sz="4" w:space="0"/>
              <w:left w:val="single" w:color="000000" w:sz="4" w:space="0"/>
              <w:bottom w:val="single" w:color="000000" w:sz="4" w:space="0"/>
              <w:right w:val="single" w:color="000000" w:sz="4" w:space="0"/>
            </w:tcBorders>
          </w:tcPr>
          <w:p w14:paraId="196E1959">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A4AC6A0">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需檢附(第1、2及4項為必要)：</w:t>
            </w:r>
          </w:p>
          <w:p w14:paraId="21B2E615">
            <w:pPr>
              <w:widowControl/>
              <w:numPr>
                <w:ilvl w:val="0"/>
                <w:numId w:val="90"/>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7EA17889">
            <w:pPr>
              <w:widowControl/>
              <w:numPr>
                <w:ilvl w:val="0"/>
                <w:numId w:val="90"/>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3A5A9AD1">
            <w:pPr>
              <w:widowControl/>
              <w:numPr>
                <w:ilvl w:val="0"/>
                <w:numId w:val="90"/>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2FCF2BB2">
            <w:pPr>
              <w:widowControl/>
              <w:numPr>
                <w:ilvl w:val="0"/>
                <w:numId w:val="90"/>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291A45C2">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2D77C429">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96</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8A432E7">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脂肪酸氧化作用缺陷</w:t>
            </w:r>
          </w:p>
          <w:p w14:paraId="66AD31D5">
            <w:pPr>
              <w:widowControl/>
              <w:adjustRightInd w:val="0"/>
              <w:snapToGrid w:val="0"/>
              <w:spacing w:line="320" w:lineRule="exact"/>
              <w:jc w:val="center"/>
              <w:rPr>
                <w:rFonts w:hint="eastAsia"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Fatty acid oxidation defect</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9DBB937">
            <w:pPr>
              <w:widowControl/>
              <w:adjustRightInd w:val="0"/>
              <w:snapToGrid w:val="0"/>
              <w:spacing w:line="320" w:lineRule="exact"/>
              <w:jc w:val="both"/>
              <w:rPr>
                <w:rFonts w:ascii="Times New Roman" w:hAnsi="Times New Roman" w:eastAsia="標楷體"/>
                <w:b/>
                <w:bCs/>
                <w:color w:val="000000"/>
                <w:sz w:val="28"/>
                <w:szCs w:val="28"/>
              </w:rPr>
            </w:pPr>
            <w:r>
              <w:rPr>
                <w:rFonts w:hint="eastAsia" w:ascii="Times New Roman" w:hAnsi="Times New Roman" w:eastAsia="標楷體"/>
                <w:b/>
                <w:bCs/>
                <w:color w:val="000000"/>
                <w:sz w:val="28"/>
                <w:szCs w:val="28"/>
              </w:rPr>
              <w:t>新生兒篩檢個案：</w:t>
            </w:r>
          </w:p>
          <w:p w14:paraId="5448CF9F">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符合2項(含)以上異常之實驗室檢驗，且相對應致病基因具致病性符合遺傳模式之基因變異。</w:t>
            </w:r>
          </w:p>
          <w:p w14:paraId="3A1E0F64">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b/>
                <w:bCs/>
                <w:color w:val="000000"/>
                <w:sz w:val="28"/>
                <w:szCs w:val="28"/>
              </w:rPr>
              <w:t>臨床個案：</w:t>
            </w:r>
          </w:p>
          <w:p w14:paraId="1D5DA986">
            <w:pPr>
              <w:widowControl/>
              <w:adjustRightInd w:val="0"/>
              <w:snapToGrid w:val="0"/>
              <w:spacing w:line="320" w:lineRule="exact"/>
              <w:jc w:val="both"/>
              <w:rPr>
                <w:rFonts w:hint="eastAsia" w:ascii="Times New Roman" w:hAnsi="Times New Roman" w:eastAsia="標楷體"/>
                <w:color w:val="000000"/>
                <w:sz w:val="28"/>
                <w:szCs w:val="28"/>
              </w:rPr>
            </w:pPr>
            <w:r>
              <w:rPr>
                <w:rFonts w:hint="eastAsia" w:ascii="Times New Roman" w:hAnsi="Times New Roman" w:eastAsia="標楷體"/>
                <w:color w:val="000000"/>
                <w:sz w:val="28"/>
                <w:szCs w:val="28"/>
              </w:rPr>
              <w:t>臨床症狀及徵兆中1~4項，至少出現1項臨床表徵，符合2項(含)以上異常之實驗室檢驗，且符合遺傳模式之致病性基因變異。</w:t>
            </w:r>
          </w:p>
        </w:tc>
        <w:tc>
          <w:tcPr>
            <w:tcW w:w="801" w:type="pct"/>
            <w:tcBorders>
              <w:top w:val="single" w:color="000000" w:sz="4" w:space="0"/>
              <w:left w:val="single" w:color="000000" w:sz="4" w:space="0"/>
              <w:bottom w:val="single" w:color="000000" w:sz="4" w:space="0"/>
              <w:right w:val="single" w:color="000000" w:sz="4" w:space="0"/>
            </w:tcBorders>
          </w:tcPr>
          <w:p w14:paraId="2D3D37CC">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574CD87">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需檢附(第1至4項為必要)：</w:t>
            </w:r>
          </w:p>
          <w:p w14:paraId="7CFD90CD">
            <w:pPr>
              <w:widowControl/>
              <w:numPr>
                <w:ilvl w:val="0"/>
                <w:numId w:val="9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7911A0DB">
            <w:pPr>
              <w:widowControl/>
              <w:numPr>
                <w:ilvl w:val="0"/>
                <w:numId w:val="9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2DFEE37C">
            <w:pPr>
              <w:widowControl/>
              <w:numPr>
                <w:ilvl w:val="0"/>
                <w:numId w:val="9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209256D7">
            <w:pPr>
              <w:widowControl/>
              <w:numPr>
                <w:ilvl w:val="0"/>
                <w:numId w:val="91"/>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1159B214">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FF2DA2C">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97</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A9E5AD6">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甲基丙二酸血症</w:t>
            </w:r>
          </w:p>
          <w:p w14:paraId="52A8BAC0">
            <w:pPr>
              <w:widowControl/>
              <w:adjustRightInd w:val="0"/>
              <w:snapToGrid w:val="0"/>
              <w:spacing w:line="320" w:lineRule="exact"/>
              <w:jc w:val="center"/>
              <w:rPr>
                <w:rFonts w:hint="eastAsia"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Methylmalonic acidemia</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1328E7FF">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須符合：</w:t>
            </w:r>
          </w:p>
          <w:p w14:paraId="2358DF28">
            <w:pPr>
              <w:widowControl/>
              <w:numPr>
                <w:ilvl w:val="0"/>
                <w:numId w:val="92"/>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臨床症狀及徵兆除新生兒代謝篩檢陽性個案可無症狀外，其他個案至少出現一項。</w:t>
            </w:r>
          </w:p>
          <w:p w14:paraId="23B30481">
            <w:pPr>
              <w:widowControl/>
              <w:numPr>
                <w:ilvl w:val="0"/>
                <w:numId w:val="92"/>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實驗室檢驗報告:血片C3,C3/C2、MMA及尿液有機酸為有意義的異常，Homocysteine 和B12正常。</w:t>
            </w:r>
          </w:p>
          <w:p w14:paraId="2E113FD4">
            <w:pPr>
              <w:widowControl/>
              <w:numPr>
                <w:ilvl w:val="0"/>
                <w:numId w:val="92"/>
              </w:numPr>
              <w:adjustRightInd w:val="0"/>
              <w:snapToGrid w:val="0"/>
              <w:spacing w:line="320" w:lineRule="exact"/>
              <w:jc w:val="both"/>
              <w:rPr>
                <w:rFonts w:ascii="Times New Roman" w:hAnsi="Times New Roman" w:eastAsia="標楷體"/>
                <w:color w:val="000000"/>
                <w:sz w:val="28"/>
                <w:szCs w:val="28"/>
              </w:rPr>
            </w:pPr>
            <w:r>
              <w:rPr>
                <w:rFonts w:ascii="Times New Roman" w:hAnsi="Times New Roman" w:eastAsia="標楷體"/>
                <w:i/>
                <w:iCs/>
                <w:color w:val="000000"/>
                <w:sz w:val="28"/>
                <w:szCs w:val="28"/>
              </w:rPr>
              <w:t xml:space="preserve">MMUT </w:t>
            </w:r>
            <w:r>
              <w:rPr>
                <w:rFonts w:hint="eastAsia" w:ascii="Times New Roman" w:hAnsi="Times New Roman" w:eastAsia="標楷體"/>
                <w:i/>
                <w:iCs/>
                <w:color w:val="000000"/>
                <w:sz w:val="28"/>
                <w:szCs w:val="28"/>
              </w:rPr>
              <w:t>或</w:t>
            </w:r>
            <w:r>
              <w:rPr>
                <w:rFonts w:ascii="Times New Roman" w:hAnsi="Times New Roman" w:eastAsia="標楷體"/>
                <w:i/>
                <w:iCs/>
                <w:color w:val="000000"/>
                <w:sz w:val="28"/>
                <w:szCs w:val="28"/>
              </w:rPr>
              <w:t xml:space="preserve"> MMAA </w:t>
            </w:r>
            <w:r>
              <w:rPr>
                <w:rFonts w:hint="eastAsia" w:ascii="Times New Roman" w:hAnsi="Times New Roman" w:eastAsia="標楷體"/>
                <w:i/>
                <w:iCs/>
                <w:color w:val="000000"/>
                <w:sz w:val="28"/>
                <w:szCs w:val="28"/>
              </w:rPr>
              <w:t>或</w:t>
            </w:r>
            <w:r>
              <w:rPr>
                <w:rFonts w:ascii="Times New Roman" w:hAnsi="Times New Roman" w:eastAsia="標楷體"/>
                <w:i/>
                <w:iCs/>
                <w:color w:val="000000"/>
                <w:sz w:val="28"/>
                <w:szCs w:val="28"/>
              </w:rPr>
              <w:t xml:space="preserve"> MMAB </w:t>
            </w:r>
            <w:r>
              <w:rPr>
                <w:rFonts w:hint="eastAsia" w:ascii="Times New Roman" w:hAnsi="Times New Roman" w:eastAsia="標楷體"/>
                <w:i/>
                <w:iCs/>
                <w:color w:val="000000"/>
                <w:sz w:val="28"/>
                <w:szCs w:val="28"/>
              </w:rPr>
              <w:t>或</w:t>
            </w:r>
            <w:r>
              <w:rPr>
                <w:rFonts w:ascii="Times New Roman" w:hAnsi="Times New Roman" w:eastAsia="標楷體"/>
                <w:i/>
                <w:iCs/>
                <w:color w:val="000000"/>
                <w:sz w:val="28"/>
                <w:szCs w:val="28"/>
              </w:rPr>
              <w:t xml:space="preserve"> MMADHC(var2) </w:t>
            </w:r>
            <w:r>
              <w:rPr>
                <w:rFonts w:hint="eastAsia" w:ascii="Times New Roman" w:hAnsi="Times New Roman" w:eastAsia="標楷體"/>
                <w:i/>
                <w:iCs/>
                <w:color w:val="000000"/>
                <w:sz w:val="28"/>
                <w:szCs w:val="28"/>
              </w:rPr>
              <w:t>或</w:t>
            </w:r>
            <w:r>
              <w:rPr>
                <w:rFonts w:ascii="Times New Roman" w:hAnsi="Times New Roman" w:eastAsia="標楷體"/>
                <w:i/>
                <w:iCs/>
                <w:color w:val="000000"/>
                <w:sz w:val="28"/>
                <w:szCs w:val="28"/>
              </w:rPr>
              <w:t xml:space="preserve"> MCEE</w:t>
            </w:r>
            <w:r>
              <w:rPr>
                <w:rFonts w:hint="eastAsia" w:ascii="Times New Roman" w:hAnsi="Times New Roman" w:eastAsia="標楷體"/>
                <w:color w:val="000000"/>
                <w:sz w:val="28"/>
                <w:szCs w:val="28"/>
              </w:rPr>
              <w:t>有</w:t>
            </w:r>
            <w:r>
              <w:rPr>
                <w:rFonts w:ascii="Times New Roman" w:hAnsi="Times New Roman" w:eastAsia="標楷體"/>
                <w:color w:val="000000"/>
                <w:sz w:val="28"/>
                <w:szCs w:val="28"/>
              </w:rPr>
              <w:t>2</w:t>
            </w:r>
            <w:r>
              <w:rPr>
                <w:rFonts w:hint="eastAsia" w:ascii="Times New Roman" w:hAnsi="Times New Roman" w:eastAsia="標楷體"/>
                <w:color w:val="000000"/>
                <w:sz w:val="28"/>
                <w:szCs w:val="28"/>
              </w:rPr>
              <w:t>個等位基因有致病性變異，符合體染色體隱性遺傳模式。</w:t>
            </w:r>
          </w:p>
        </w:tc>
        <w:tc>
          <w:tcPr>
            <w:tcW w:w="801" w:type="pct"/>
            <w:tcBorders>
              <w:top w:val="single" w:color="000000" w:sz="4" w:space="0"/>
              <w:left w:val="single" w:color="000000" w:sz="4" w:space="0"/>
              <w:bottom w:val="single" w:color="000000" w:sz="4" w:space="0"/>
              <w:right w:val="single" w:color="000000" w:sz="4" w:space="0"/>
            </w:tcBorders>
          </w:tcPr>
          <w:p w14:paraId="66CA66F4">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1B97BC6">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需檢附(第1、2及4項為必要)：</w:t>
            </w:r>
          </w:p>
          <w:p w14:paraId="03CE329A">
            <w:pPr>
              <w:widowControl/>
              <w:numPr>
                <w:ilvl w:val="0"/>
                <w:numId w:val="93"/>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1877DEFE">
            <w:pPr>
              <w:widowControl/>
              <w:numPr>
                <w:ilvl w:val="0"/>
                <w:numId w:val="93"/>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40372FAF">
            <w:pPr>
              <w:widowControl/>
              <w:numPr>
                <w:ilvl w:val="0"/>
                <w:numId w:val="93"/>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影像學檢查報告</w:t>
            </w:r>
          </w:p>
          <w:p w14:paraId="7DDC8EA8">
            <w:pPr>
              <w:widowControl/>
              <w:numPr>
                <w:ilvl w:val="0"/>
                <w:numId w:val="93"/>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r w14:paraId="2A609A8E">
        <w:tblPrEx>
          <w:tblCellMar>
            <w:top w:w="0" w:type="dxa"/>
            <w:left w:w="10" w:type="dxa"/>
            <w:bottom w:w="0" w:type="dxa"/>
            <w:right w:w="10" w:type="dxa"/>
          </w:tblCellMar>
        </w:tblPrEx>
        <w:trPr>
          <w:trHeight w:val="1680" w:hRule="atLeast"/>
          <w:jc w:val="center"/>
        </w:trPr>
        <w:tc>
          <w:tcPr>
            <w:tcW w:w="265" w:type="pct"/>
            <w:tcBorders>
              <w:top w:val="single" w:color="000000" w:sz="4" w:space="0"/>
              <w:left w:val="single" w:color="000000" w:sz="4" w:space="0"/>
              <w:bottom w:val="single" w:color="000000" w:sz="4" w:space="0"/>
              <w:right w:val="single" w:color="000000" w:sz="4" w:space="0"/>
            </w:tcBorders>
            <w:vAlign w:val="center"/>
          </w:tcPr>
          <w:p w14:paraId="6FE9C54E">
            <w:pPr>
              <w:widowControl/>
              <w:adjustRightInd w:val="0"/>
              <w:snapToGrid w:val="0"/>
              <w:spacing w:line="320" w:lineRule="exact"/>
              <w:jc w:val="center"/>
              <w:rPr>
                <w:rFonts w:ascii="Times New Roman" w:hAnsi="Times New Roman" w:eastAsia="標楷體"/>
                <w:color w:val="000000"/>
                <w:sz w:val="28"/>
                <w:szCs w:val="28"/>
              </w:rPr>
            </w:pPr>
            <w:r>
              <w:rPr>
                <w:rFonts w:hint="eastAsia" w:ascii="Times New Roman" w:hAnsi="Times New Roman" w:eastAsia="標楷體"/>
                <w:color w:val="000000"/>
                <w:sz w:val="28"/>
                <w:szCs w:val="28"/>
              </w:rPr>
              <w:t>98</w:t>
            </w:r>
          </w:p>
        </w:tc>
        <w:tc>
          <w:tcPr>
            <w:tcW w:w="1133"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68C27F4">
            <w:pPr>
              <w:widowControl/>
              <w:adjustRightInd w:val="0"/>
              <w:snapToGrid w:val="0"/>
              <w:spacing w:line="320" w:lineRule="exact"/>
              <w:jc w:val="center"/>
              <w:rPr>
                <w:rFonts w:ascii="Times New Roman" w:hAnsi="Times New Roman" w:eastAsia="標楷體"/>
                <w:sz w:val="28"/>
                <w:szCs w:val="28"/>
              </w:rPr>
            </w:pPr>
            <w:r>
              <w:rPr>
                <w:rFonts w:hint="eastAsia" w:ascii="Times New Roman" w:hAnsi="Times New Roman" w:eastAsia="標楷體"/>
                <w:sz w:val="28"/>
                <w:szCs w:val="28"/>
              </w:rPr>
              <w:t>假性副甲狀腺低能症</w:t>
            </w:r>
          </w:p>
          <w:p w14:paraId="76434056">
            <w:pPr>
              <w:widowControl/>
              <w:adjustRightInd w:val="0"/>
              <w:snapToGrid w:val="0"/>
              <w:spacing w:line="320" w:lineRule="exact"/>
              <w:jc w:val="center"/>
              <w:rPr>
                <w:rFonts w:hint="eastAsia" w:ascii="Times New Roman" w:hAnsi="Times New Roman" w:eastAsia="標楷體"/>
                <w:sz w:val="28"/>
                <w:szCs w:val="28"/>
              </w:rPr>
            </w:pPr>
            <w:r>
              <w:rPr>
                <w:rFonts w:hint="eastAsia" w:ascii="Times New Roman" w:hAnsi="Times New Roman" w:eastAsia="標楷體"/>
                <w:sz w:val="28"/>
                <w:szCs w:val="28"/>
              </w:rPr>
              <w:t>(</w:t>
            </w:r>
            <w:r>
              <w:rPr>
                <w:rFonts w:ascii="Times New Roman" w:hAnsi="Times New Roman" w:eastAsia="標楷體"/>
                <w:sz w:val="28"/>
                <w:szCs w:val="28"/>
              </w:rPr>
              <w:t>Pseudohypoparathyroidism</w:t>
            </w:r>
            <w:r>
              <w:rPr>
                <w:rFonts w:hint="eastAsia" w:ascii="Times New Roman" w:hAnsi="Times New Roman" w:eastAsia="標楷體"/>
                <w:sz w:val="28"/>
                <w:szCs w:val="28"/>
              </w:rPr>
              <w:t>)</w:t>
            </w:r>
          </w:p>
        </w:tc>
        <w:tc>
          <w:tcPr>
            <w:tcW w:w="1201"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D081EF4">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具臨床症狀及徵兆之一項以上(含)，實驗室檢驗及檢查符合假性副甲狀腺症及符合遺遺傳模式之致病性基因變異。</w:t>
            </w:r>
          </w:p>
        </w:tc>
        <w:tc>
          <w:tcPr>
            <w:tcW w:w="801" w:type="pct"/>
            <w:tcBorders>
              <w:top w:val="single" w:color="000000" w:sz="4" w:space="0"/>
              <w:left w:val="single" w:color="000000" w:sz="4" w:space="0"/>
              <w:bottom w:val="single" w:color="000000" w:sz="4" w:space="0"/>
              <w:right w:val="single" w:color="000000" w:sz="4" w:space="0"/>
            </w:tcBorders>
          </w:tcPr>
          <w:p w14:paraId="0B9825ED">
            <w:pPr>
              <w:adjustRightInd w:val="0"/>
              <w:snapToGrid w:val="0"/>
              <w:spacing w:line="320" w:lineRule="exact"/>
              <w:jc w:val="both"/>
              <w:rPr>
                <w:rFonts w:ascii="Times New Roman" w:hAnsi="Times New Roman" w:eastAsia="標楷體"/>
                <w:b/>
                <w:sz w:val="28"/>
                <w:szCs w:val="28"/>
                <w:u w:val="single"/>
              </w:rPr>
            </w:pPr>
            <w:r>
              <w:rPr>
                <w:rFonts w:hint="eastAsia" w:ascii="Times New Roman" w:hAnsi="Times New Roman" w:eastAsia="標楷體"/>
                <w:b/>
                <w:sz w:val="28"/>
                <w:szCs w:val="28"/>
                <w:u w:val="single"/>
              </w:rPr>
              <w:t>需要</w:t>
            </w:r>
            <w:r>
              <w:rPr>
                <w:rFonts w:hint="eastAsia" w:ascii="Times New Roman" w:hAnsi="Times New Roman" w:eastAsia="標楷體"/>
                <w:sz w:val="28"/>
                <w:szCs w:val="28"/>
              </w:rPr>
              <w:t>，需檢附基因檢測報告</w:t>
            </w:r>
            <w:r>
              <w:rPr>
                <w:rFonts w:ascii="Times New Roman" w:hAnsi="Times New Roman" w:eastAsia="標楷體"/>
                <w:sz w:val="28"/>
                <w:szCs w:val="28"/>
              </w:rPr>
              <w:t>。</w:t>
            </w:r>
          </w:p>
        </w:tc>
        <w:tc>
          <w:tcPr>
            <w:tcW w:w="1600" w:type="pc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7EBB0116">
            <w:pPr>
              <w:widowControl/>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需檢附(第1至4項為必要)：</w:t>
            </w:r>
          </w:p>
          <w:p w14:paraId="6725A166">
            <w:pPr>
              <w:widowControl/>
              <w:numPr>
                <w:ilvl w:val="0"/>
                <w:numId w:val="9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病歷資料</w:t>
            </w:r>
          </w:p>
          <w:p w14:paraId="29ADC25D">
            <w:pPr>
              <w:widowControl/>
              <w:numPr>
                <w:ilvl w:val="0"/>
                <w:numId w:val="9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實驗室檢驗報告</w:t>
            </w:r>
          </w:p>
          <w:p w14:paraId="5EEB60F8">
            <w:pPr>
              <w:widowControl/>
              <w:numPr>
                <w:ilvl w:val="0"/>
                <w:numId w:val="9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X射線檢查及腦部影像學報告</w:t>
            </w:r>
          </w:p>
          <w:p w14:paraId="66F399CF">
            <w:pPr>
              <w:widowControl/>
              <w:numPr>
                <w:ilvl w:val="0"/>
                <w:numId w:val="94"/>
              </w:numPr>
              <w:adjustRightInd w:val="0"/>
              <w:snapToGrid w:val="0"/>
              <w:spacing w:line="320" w:lineRule="exact"/>
              <w:jc w:val="both"/>
              <w:rPr>
                <w:rFonts w:ascii="Times New Roman" w:hAnsi="Times New Roman" w:eastAsia="標楷體"/>
                <w:color w:val="000000"/>
                <w:sz w:val="28"/>
                <w:szCs w:val="28"/>
              </w:rPr>
            </w:pPr>
            <w:r>
              <w:rPr>
                <w:rFonts w:hint="eastAsia" w:ascii="Times New Roman" w:hAnsi="Times New Roman" w:eastAsia="標楷體"/>
                <w:color w:val="000000"/>
                <w:sz w:val="28"/>
                <w:szCs w:val="28"/>
              </w:rPr>
              <w:t>基因檢測報告</w:t>
            </w:r>
          </w:p>
        </w:tc>
      </w:tr>
    </w:tbl>
    <w:p w14:paraId="141680B7">
      <w:pPr>
        <w:widowControl/>
        <w:rPr>
          <w:rFonts w:ascii="Times New Roman" w:hAnsi="Times New Roman" w:eastAsia="標楷體"/>
        </w:rPr>
      </w:pPr>
    </w:p>
    <w:sectPr>
      <w:footerReference r:id="rId3" w:type="default"/>
      <w:footerReference r:id="rId4" w:type="even"/>
      <w:pgSz w:w="11906" w:h="16838"/>
      <w:pgMar w:top="993" w:right="567" w:bottom="426" w:left="567" w:header="851" w:footer="0" w:gutter="0"/>
      <w:cols w:space="425" w:num="1"/>
      <w:docGrid w:type="linesAndChar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細明體">
    <w:panose1 w:val="02020500000000000000"/>
    <w:charset w:val="88"/>
    <w:family w:val="roman"/>
    <w:pitch w:val="default"/>
    <w:sig w:usb0="A00002FF" w:usb1="28CFFCFA"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標楷體">
    <w:panose1 w:val="03000509000000000000"/>
    <w:charset w:val="88"/>
    <w:family w:val="script"/>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6B008">
    <w:pPr>
      <w:pStyle w:val="8"/>
      <w:jc w:val="center"/>
    </w:pPr>
    <w:r>
      <w:fldChar w:fldCharType="begin"/>
    </w:r>
    <w:r>
      <w:instrText xml:space="preserve">PAGE   \* MERGEFORMAT</w:instrText>
    </w:r>
    <w:r>
      <w:fldChar w:fldCharType="separate"/>
    </w:r>
    <w:r>
      <w:rPr>
        <w:lang w:val="zh-TW" w:eastAsia="zh-TW"/>
      </w:rPr>
      <w:t>2</w:t>
    </w:r>
    <w:r>
      <w:fldChar w:fldCharType="end"/>
    </w:r>
  </w:p>
  <w:p w14:paraId="61BBFD0B">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1DE3">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w:t>
    </w:r>
    <w:r>
      <w:rPr>
        <w:rStyle w:val="11"/>
      </w:rPr>
      <w:fldChar w:fldCharType="end"/>
    </w:r>
  </w:p>
  <w:p w14:paraId="21A05A58">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10674"/>
    <w:multiLevelType w:val="multilevel"/>
    <w:tmpl w:val="00810674"/>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00DD493D"/>
    <w:multiLevelType w:val="multilevel"/>
    <w:tmpl w:val="00DD493D"/>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03F32864"/>
    <w:multiLevelType w:val="multilevel"/>
    <w:tmpl w:val="03F3286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04E31939"/>
    <w:multiLevelType w:val="multilevel"/>
    <w:tmpl w:val="04E31939"/>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
    <w:nsid w:val="05430F42"/>
    <w:multiLevelType w:val="multilevel"/>
    <w:tmpl w:val="05430F4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05732E40"/>
    <w:multiLevelType w:val="multilevel"/>
    <w:tmpl w:val="05732E4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
    <w:nsid w:val="06F3592F"/>
    <w:multiLevelType w:val="multilevel"/>
    <w:tmpl w:val="06F3592F"/>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
    <w:nsid w:val="0855500C"/>
    <w:multiLevelType w:val="multilevel"/>
    <w:tmpl w:val="0855500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
    <w:nsid w:val="09400868"/>
    <w:multiLevelType w:val="multilevel"/>
    <w:tmpl w:val="09400868"/>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
    <w:nsid w:val="097619AC"/>
    <w:multiLevelType w:val="multilevel"/>
    <w:tmpl w:val="097619A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0">
    <w:nsid w:val="0A593BD8"/>
    <w:multiLevelType w:val="multilevel"/>
    <w:tmpl w:val="0A593BD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1">
    <w:nsid w:val="0ACD0797"/>
    <w:multiLevelType w:val="multilevel"/>
    <w:tmpl w:val="0ACD079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2">
    <w:nsid w:val="0CE7333C"/>
    <w:multiLevelType w:val="multilevel"/>
    <w:tmpl w:val="0CE7333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3">
    <w:nsid w:val="130F5706"/>
    <w:multiLevelType w:val="multilevel"/>
    <w:tmpl w:val="130F570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4">
    <w:nsid w:val="14CD20A8"/>
    <w:multiLevelType w:val="multilevel"/>
    <w:tmpl w:val="14CD20A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5">
    <w:nsid w:val="154A73E5"/>
    <w:multiLevelType w:val="multilevel"/>
    <w:tmpl w:val="154A73E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6">
    <w:nsid w:val="16962AF3"/>
    <w:multiLevelType w:val="multilevel"/>
    <w:tmpl w:val="16962AF3"/>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7">
    <w:nsid w:val="17321A12"/>
    <w:multiLevelType w:val="multilevel"/>
    <w:tmpl w:val="17321A1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8">
    <w:nsid w:val="18582C26"/>
    <w:multiLevelType w:val="multilevel"/>
    <w:tmpl w:val="18582C26"/>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9">
    <w:nsid w:val="19685F8F"/>
    <w:multiLevelType w:val="multilevel"/>
    <w:tmpl w:val="19685F8F"/>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0">
    <w:nsid w:val="1C616305"/>
    <w:multiLevelType w:val="multilevel"/>
    <w:tmpl w:val="1C616305"/>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1">
    <w:nsid w:val="1D476F10"/>
    <w:multiLevelType w:val="multilevel"/>
    <w:tmpl w:val="1D476F1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2">
    <w:nsid w:val="1EC93E5E"/>
    <w:multiLevelType w:val="multilevel"/>
    <w:tmpl w:val="1EC93E5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3">
    <w:nsid w:val="1F20469C"/>
    <w:multiLevelType w:val="multilevel"/>
    <w:tmpl w:val="1F20469C"/>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4">
    <w:nsid w:val="1FB175CE"/>
    <w:multiLevelType w:val="multilevel"/>
    <w:tmpl w:val="1FB175CE"/>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5">
    <w:nsid w:val="215C7872"/>
    <w:multiLevelType w:val="multilevel"/>
    <w:tmpl w:val="215C787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6">
    <w:nsid w:val="21AD146A"/>
    <w:multiLevelType w:val="multilevel"/>
    <w:tmpl w:val="21AD146A"/>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7">
    <w:nsid w:val="21C94AB6"/>
    <w:multiLevelType w:val="multilevel"/>
    <w:tmpl w:val="21C94AB6"/>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8">
    <w:nsid w:val="22E85958"/>
    <w:multiLevelType w:val="multilevel"/>
    <w:tmpl w:val="22E85958"/>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9">
    <w:nsid w:val="234E2F54"/>
    <w:multiLevelType w:val="multilevel"/>
    <w:tmpl w:val="234E2F5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0">
    <w:nsid w:val="2363530C"/>
    <w:multiLevelType w:val="multilevel"/>
    <w:tmpl w:val="2363530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1">
    <w:nsid w:val="23F34BD6"/>
    <w:multiLevelType w:val="multilevel"/>
    <w:tmpl w:val="23F34BD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2">
    <w:nsid w:val="25696C52"/>
    <w:multiLevelType w:val="multilevel"/>
    <w:tmpl w:val="25696C52"/>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3">
    <w:nsid w:val="2A401BE9"/>
    <w:multiLevelType w:val="multilevel"/>
    <w:tmpl w:val="2A401BE9"/>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4">
    <w:nsid w:val="2A473081"/>
    <w:multiLevelType w:val="multilevel"/>
    <w:tmpl w:val="2A47308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5">
    <w:nsid w:val="2CBD021A"/>
    <w:multiLevelType w:val="multilevel"/>
    <w:tmpl w:val="2CBD021A"/>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6">
    <w:nsid w:val="2E430AD6"/>
    <w:multiLevelType w:val="multilevel"/>
    <w:tmpl w:val="2E430AD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7">
    <w:nsid w:val="2F395510"/>
    <w:multiLevelType w:val="multilevel"/>
    <w:tmpl w:val="2F395510"/>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8">
    <w:nsid w:val="30D21F62"/>
    <w:multiLevelType w:val="multilevel"/>
    <w:tmpl w:val="30D21F6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9">
    <w:nsid w:val="33383912"/>
    <w:multiLevelType w:val="multilevel"/>
    <w:tmpl w:val="3338391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0">
    <w:nsid w:val="38931B1C"/>
    <w:multiLevelType w:val="multilevel"/>
    <w:tmpl w:val="38931B1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1">
    <w:nsid w:val="395B13FE"/>
    <w:multiLevelType w:val="multilevel"/>
    <w:tmpl w:val="395B13FE"/>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42">
    <w:nsid w:val="3A174DC1"/>
    <w:multiLevelType w:val="multilevel"/>
    <w:tmpl w:val="3A174DC1"/>
    <w:lvl w:ilvl="0" w:tentative="0">
      <w:start w:val="1"/>
      <w:numFmt w:val="decimal"/>
      <w:lvlText w:val="%1."/>
      <w:lvlJc w:val="left"/>
      <w:pPr>
        <w:ind w:left="360" w:hanging="360"/>
      </w:pPr>
      <w:rPr>
        <w:rFonts w:hint="default"/>
      </w:rPr>
    </w:lvl>
    <w:lvl w:ilvl="1" w:tentative="0">
      <w:start w:val="1"/>
      <w:numFmt w:val="decimal"/>
      <w:lvlText w:val="(%2)"/>
      <w:lvlJc w:val="left"/>
      <w:pPr>
        <w:ind w:left="840" w:hanging="360"/>
      </w:pPr>
      <w:rPr>
        <w:rFonts w:hint="default"/>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3">
    <w:nsid w:val="3A9D4FD5"/>
    <w:multiLevelType w:val="multilevel"/>
    <w:tmpl w:val="3A9D4FD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4">
    <w:nsid w:val="3A9D5BB8"/>
    <w:multiLevelType w:val="multilevel"/>
    <w:tmpl w:val="3A9D5BB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5">
    <w:nsid w:val="3E632D23"/>
    <w:multiLevelType w:val="multilevel"/>
    <w:tmpl w:val="3E632D23"/>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6">
    <w:nsid w:val="40F123DF"/>
    <w:multiLevelType w:val="multilevel"/>
    <w:tmpl w:val="40F123DF"/>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7">
    <w:nsid w:val="42F15122"/>
    <w:multiLevelType w:val="multilevel"/>
    <w:tmpl w:val="42F1512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8">
    <w:nsid w:val="468D5CBE"/>
    <w:multiLevelType w:val="multilevel"/>
    <w:tmpl w:val="468D5CB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49">
    <w:nsid w:val="46E50F9C"/>
    <w:multiLevelType w:val="multilevel"/>
    <w:tmpl w:val="46E50F9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0">
    <w:nsid w:val="478B696F"/>
    <w:multiLevelType w:val="multilevel"/>
    <w:tmpl w:val="478B696F"/>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1">
    <w:nsid w:val="48743DB5"/>
    <w:multiLevelType w:val="multilevel"/>
    <w:tmpl w:val="48743DB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2">
    <w:nsid w:val="48872E82"/>
    <w:multiLevelType w:val="multilevel"/>
    <w:tmpl w:val="48872E8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3">
    <w:nsid w:val="49864FC2"/>
    <w:multiLevelType w:val="multilevel"/>
    <w:tmpl w:val="49864FC2"/>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4">
    <w:nsid w:val="4B1A59AA"/>
    <w:multiLevelType w:val="multilevel"/>
    <w:tmpl w:val="4B1A59AA"/>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5">
    <w:nsid w:val="4B5304C6"/>
    <w:multiLevelType w:val="multilevel"/>
    <w:tmpl w:val="4B5304C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6">
    <w:nsid w:val="4B857A75"/>
    <w:multiLevelType w:val="multilevel"/>
    <w:tmpl w:val="4B857A7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7">
    <w:nsid w:val="4BB1008E"/>
    <w:multiLevelType w:val="multilevel"/>
    <w:tmpl w:val="4BB1008E"/>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8">
    <w:nsid w:val="4C1C0878"/>
    <w:multiLevelType w:val="multilevel"/>
    <w:tmpl w:val="4C1C087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9">
    <w:nsid w:val="4DC245C6"/>
    <w:multiLevelType w:val="multilevel"/>
    <w:tmpl w:val="4DC245C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0">
    <w:nsid w:val="4DD05EC5"/>
    <w:multiLevelType w:val="multilevel"/>
    <w:tmpl w:val="4DD05EC5"/>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1">
    <w:nsid w:val="4EEB434E"/>
    <w:multiLevelType w:val="multilevel"/>
    <w:tmpl w:val="4EEB434E"/>
    <w:lvl w:ilvl="0" w:tentative="0">
      <w:start w:val="1"/>
      <w:numFmt w:val="decimal"/>
      <w:lvlText w:val="%1."/>
      <w:lvlJc w:val="left"/>
      <w:pPr>
        <w:ind w:left="360" w:hanging="360"/>
      </w:pPr>
      <w:rPr>
        <w:rFonts w:hint="default"/>
      </w:rPr>
    </w:lvl>
    <w:lvl w:ilvl="1" w:tentative="0">
      <w:start w:val="0"/>
      <w:numFmt w:val="bullet"/>
      <w:lvlText w:val="□"/>
      <w:lvlJc w:val="left"/>
      <w:pPr>
        <w:ind w:left="900" w:hanging="420"/>
      </w:pPr>
      <w:rPr>
        <w:rFonts w:hint="eastAsia" w:ascii="標楷體" w:hAnsi="標楷體" w:eastAsia="標楷體" w:cs="Times New Roman"/>
      </w:r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2">
    <w:nsid w:val="500F1D2C"/>
    <w:multiLevelType w:val="multilevel"/>
    <w:tmpl w:val="500F1D2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3">
    <w:nsid w:val="50976730"/>
    <w:multiLevelType w:val="multilevel"/>
    <w:tmpl w:val="5097673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4">
    <w:nsid w:val="51143C00"/>
    <w:multiLevelType w:val="multilevel"/>
    <w:tmpl w:val="51143C00"/>
    <w:lvl w:ilvl="0" w:tentative="0">
      <w:start w:val="1"/>
      <w:numFmt w:val="decimal"/>
      <w:lvlText w:val="(%1)"/>
      <w:lvlJc w:val="left"/>
      <w:pPr>
        <w:ind w:left="840" w:hanging="480"/>
      </w:pPr>
      <w:rPr>
        <w:rFonts w:hint="default" w:hAnsi="Times New Roman"/>
        <w:color w:val="000000"/>
      </w:rPr>
    </w:lvl>
    <w:lvl w:ilvl="1" w:tentative="0">
      <w:start w:val="1"/>
      <w:numFmt w:val="ideographTraditional"/>
      <w:lvlText w:val="%2、"/>
      <w:lvlJc w:val="left"/>
      <w:pPr>
        <w:ind w:left="1320" w:hanging="480"/>
      </w:pPr>
    </w:lvl>
    <w:lvl w:ilvl="2" w:tentative="0">
      <w:start w:val="1"/>
      <w:numFmt w:val="decimal"/>
      <w:lvlText w:val="%3."/>
      <w:lvlJc w:val="left"/>
      <w:pPr>
        <w:ind w:left="1680" w:hanging="360"/>
      </w:pPr>
      <w:rPr>
        <w:rFonts w:hint="default"/>
      </w:rPr>
    </w:lvl>
    <w:lvl w:ilvl="3" w:tentative="0">
      <w:start w:val="1"/>
      <w:numFmt w:val="decimal"/>
      <w:lvlText w:val="%4."/>
      <w:lvlJc w:val="left"/>
      <w:pPr>
        <w:ind w:left="2280" w:hanging="480"/>
      </w:pPr>
    </w:lvl>
    <w:lvl w:ilvl="4" w:tentative="0">
      <w:start w:val="1"/>
      <w:numFmt w:val="ideographTraditional"/>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ideographTraditional"/>
      <w:lvlText w:val="%8、"/>
      <w:lvlJc w:val="left"/>
      <w:pPr>
        <w:ind w:left="4200" w:hanging="480"/>
      </w:pPr>
    </w:lvl>
    <w:lvl w:ilvl="8" w:tentative="0">
      <w:start w:val="1"/>
      <w:numFmt w:val="lowerRoman"/>
      <w:lvlText w:val="%9."/>
      <w:lvlJc w:val="right"/>
      <w:pPr>
        <w:ind w:left="4680" w:hanging="480"/>
      </w:pPr>
    </w:lvl>
  </w:abstractNum>
  <w:abstractNum w:abstractNumId="65">
    <w:nsid w:val="52A9754E"/>
    <w:multiLevelType w:val="multilevel"/>
    <w:tmpl w:val="52A9754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6">
    <w:nsid w:val="56C873F6"/>
    <w:multiLevelType w:val="multilevel"/>
    <w:tmpl w:val="56C873F6"/>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7">
    <w:nsid w:val="56DC0ECE"/>
    <w:multiLevelType w:val="multilevel"/>
    <w:tmpl w:val="56DC0EC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8">
    <w:nsid w:val="59317D1C"/>
    <w:multiLevelType w:val="multilevel"/>
    <w:tmpl w:val="59317D1C"/>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69">
    <w:nsid w:val="5989148D"/>
    <w:multiLevelType w:val="multilevel"/>
    <w:tmpl w:val="5989148D"/>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0">
    <w:nsid w:val="5C172C27"/>
    <w:multiLevelType w:val="multilevel"/>
    <w:tmpl w:val="5C172C2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1">
    <w:nsid w:val="5C65573E"/>
    <w:multiLevelType w:val="multilevel"/>
    <w:tmpl w:val="5C65573E"/>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2">
    <w:nsid w:val="5C821FB9"/>
    <w:multiLevelType w:val="multilevel"/>
    <w:tmpl w:val="5C821FB9"/>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3">
    <w:nsid w:val="5DDE6ADB"/>
    <w:multiLevelType w:val="multilevel"/>
    <w:tmpl w:val="5DDE6ADB"/>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4">
    <w:nsid w:val="648875DC"/>
    <w:multiLevelType w:val="multilevel"/>
    <w:tmpl w:val="648875D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5">
    <w:nsid w:val="65CF0153"/>
    <w:multiLevelType w:val="multilevel"/>
    <w:tmpl w:val="65CF0153"/>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6">
    <w:nsid w:val="67CE2848"/>
    <w:multiLevelType w:val="multilevel"/>
    <w:tmpl w:val="67CE2848"/>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7">
    <w:nsid w:val="67E17D71"/>
    <w:multiLevelType w:val="multilevel"/>
    <w:tmpl w:val="67E17D7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8">
    <w:nsid w:val="6B74210C"/>
    <w:multiLevelType w:val="multilevel"/>
    <w:tmpl w:val="6B74210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79">
    <w:nsid w:val="6D553097"/>
    <w:multiLevelType w:val="multilevel"/>
    <w:tmpl w:val="6D55309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0">
    <w:nsid w:val="6E5757C9"/>
    <w:multiLevelType w:val="multilevel"/>
    <w:tmpl w:val="6E5757C9"/>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1">
    <w:nsid w:val="6E7E3097"/>
    <w:multiLevelType w:val="multilevel"/>
    <w:tmpl w:val="6E7E309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2">
    <w:nsid w:val="71E530D4"/>
    <w:multiLevelType w:val="multilevel"/>
    <w:tmpl w:val="71E530D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3">
    <w:nsid w:val="72A032AC"/>
    <w:multiLevelType w:val="multilevel"/>
    <w:tmpl w:val="72A032A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4">
    <w:nsid w:val="73C761A4"/>
    <w:multiLevelType w:val="multilevel"/>
    <w:tmpl w:val="73C761A4"/>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5">
    <w:nsid w:val="74792691"/>
    <w:multiLevelType w:val="multilevel"/>
    <w:tmpl w:val="74792691"/>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6">
    <w:nsid w:val="747F74AD"/>
    <w:multiLevelType w:val="multilevel"/>
    <w:tmpl w:val="747F74AD"/>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7">
    <w:nsid w:val="755F1AF0"/>
    <w:multiLevelType w:val="multilevel"/>
    <w:tmpl w:val="755F1AF0"/>
    <w:lvl w:ilvl="0" w:tentative="0">
      <w:start w:val="1"/>
      <w:numFmt w:val="decimal"/>
      <w:lvlText w:val="(%1)"/>
      <w:lvlJc w:val="left"/>
      <w:pPr>
        <w:ind w:left="840" w:hanging="480"/>
      </w:pPr>
      <w:rPr>
        <w:rFonts w:hint="default" w:hAnsi="Times New Roman"/>
        <w:color w:val="000000"/>
      </w:rPr>
    </w:lvl>
    <w:lvl w:ilvl="1" w:tentative="0">
      <w:start w:val="1"/>
      <w:numFmt w:val="ideographTraditional"/>
      <w:lvlText w:val="%2、"/>
      <w:lvlJc w:val="left"/>
      <w:pPr>
        <w:ind w:left="1320" w:hanging="480"/>
      </w:pPr>
    </w:lvl>
    <w:lvl w:ilvl="2" w:tentative="0">
      <w:start w:val="1"/>
      <w:numFmt w:val="lowerRoman"/>
      <w:lvlText w:val="%3."/>
      <w:lvlJc w:val="right"/>
      <w:pPr>
        <w:ind w:left="1800" w:hanging="480"/>
      </w:pPr>
    </w:lvl>
    <w:lvl w:ilvl="3" w:tentative="0">
      <w:start w:val="1"/>
      <w:numFmt w:val="decimal"/>
      <w:lvlText w:val="%4."/>
      <w:lvlJc w:val="left"/>
      <w:pPr>
        <w:ind w:left="2280" w:hanging="480"/>
      </w:pPr>
    </w:lvl>
    <w:lvl w:ilvl="4" w:tentative="0">
      <w:start w:val="1"/>
      <w:numFmt w:val="ideographTraditional"/>
      <w:lvlText w:val="%5、"/>
      <w:lvlJc w:val="left"/>
      <w:pPr>
        <w:ind w:left="2760" w:hanging="480"/>
      </w:pPr>
    </w:lvl>
    <w:lvl w:ilvl="5" w:tentative="0">
      <w:start w:val="1"/>
      <w:numFmt w:val="lowerRoman"/>
      <w:lvlText w:val="%6."/>
      <w:lvlJc w:val="right"/>
      <w:pPr>
        <w:ind w:left="3240" w:hanging="480"/>
      </w:pPr>
    </w:lvl>
    <w:lvl w:ilvl="6" w:tentative="0">
      <w:start w:val="1"/>
      <w:numFmt w:val="decimal"/>
      <w:lvlText w:val="%7."/>
      <w:lvlJc w:val="left"/>
      <w:pPr>
        <w:ind w:left="3720" w:hanging="480"/>
      </w:pPr>
    </w:lvl>
    <w:lvl w:ilvl="7" w:tentative="0">
      <w:start w:val="1"/>
      <w:numFmt w:val="ideographTraditional"/>
      <w:lvlText w:val="%8、"/>
      <w:lvlJc w:val="left"/>
      <w:pPr>
        <w:ind w:left="4200" w:hanging="480"/>
      </w:pPr>
    </w:lvl>
    <w:lvl w:ilvl="8" w:tentative="0">
      <w:start w:val="1"/>
      <w:numFmt w:val="lowerRoman"/>
      <w:lvlText w:val="%9."/>
      <w:lvlJc w:val="right"/>
      <w:pPr>
        <w:ind w:left="4680" w:hanging="480"/>
      </w:pPr>
    </w:lvl>
  </w:abstractNum>
  <w:abstractNum w:abstractNumId="88">
    <w:nsid w:val="75BA414D"/>
    <w:multiLevelType w:val="multilevel"/>
    <w:tmpl w:val="75BA414D"/>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89">
    <w:nsid w:val="776A5FC0"/>
    <w:multiLevelType w:val="multilevel"/>
    <w:tmpl w:val="776A5FC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0">
    <w:nsid w:val="78801D29"/>
    <w:multiLevelType w:val="multilevel"/>
    <w:tmpl w:val="78801D29"/>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1">
    <w:nsid w:val="79CE22E7"/>
    <w:multiLevelType w:val="multilevel"/>
    <w:tmpl w:val="79CE22E7"/>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2">
    <w:nsid w:val="7E351E60"/>
    <w:multiLevelType w:val="multilevel"/>
    <w:tmpl w:val="7E351E60"/>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93">
    <w:nsid w:val="7E4037CC"/>
    <w:multiLevelType w:val="multilevel"/>
    <w:tmpl w:val="7E4037CC"/>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20"/>
  </w:num>
  <w:num w:numId="2">
    <w:abstractNumId w:val="87"/>
  </w:num>
  <w:num w:numId="3">
    <w:abstractNumId w:val="64"/>
  </w:num>
  <w:num w:numId="4">
    <w:abstractNumId w:val="42"/>
  </w:num>
  <w:num w:numId="5">
    <w:abstractNumId w:val="49"/>
  </w:num>
  <w:num w:numId="6">
    <w:abstractNumId w:val="24"/>
  </w:num>
  <w:num w:numId="7">
    <w:abstractNumId w:val="79"/>
  </w:num>
  <w:num w:numId="8">
    <w:abstractNumId w:val="5"/>
  </w:num>
  <w:num w:numId="9">
    <w:abstractNumId w:val="16"/>
  </w:num>
  <w:num w:numId="10">
    <w:abstractNumId w:val="88"/>
  </w:num>
  <w:num w:numId="11">
    <w:abstractNumId w:val="14"/>
  </w:num>
  <w:num w:numId="12">
    <w:abstractNumId w:val="67"/>
  </w:num>
  <w:num w:numId="13">
    <w:abstractNumId w:val="55"/>
  </w:num>
  <w:num w:numId="14">
    <w:abstractNumId w:val="78"/>
  </w:num>
  <w:num w:numId="15">
    <w:abstractNumId w:val="3"/>
  </w:num>
  <w:num w:numId="16">
    <w:abstractNumId w:val="15"/>
  </w:num>
  <w:num w:numId="17">
    <w:abstractNumId w:val="85"/>
  </w:num>
  <w:num w:numId="18">
    <w:abstractNumId w:val="30"/>
  </w:num>
  <w:num w:numId="19">
    <w:abstractNumId w:val="81"/>
  </w:num>
  <w:num w:numId="20">
    <w:abstractNumId w:val="22"/>
  </w:num>
  <w:num w:numId="21">
    <w:abstractNumId w:val="17"/>
  </w:num>
  <w:num w:numId="22">
    <w:abstractNumId w:val="56"/>
  </w:num>
  <w:num w:numId="23">
    <w:abstractNumId w:val="53"/>
  </w:num>
  <w:num w:numId="24">
    <w:abstractNumId w:val="10"/>
  </w:num>
  <w:num w:numId="25">
    <w:abstractNumId w:val="70"/>
  </w:num>
  <w:num w:numId="26">
    <w:abstractNumId w:val="25"/>
  </w:num>
  <w:num w:numId="27">
    <w:abstractNumId w:val="36"/>
  </w:num>
  <w:num w:numId="28">
    <w:abstractNumId w:val="1"/>
  </w:num>
  <w:num w:numId="29">
    <w:abstractNumId w:val="90"/>
  </w:num>
  <w:num w:numId="30">
    <w:abstractNumId w:val="9"/>
  </w:num>
  <w:num w:numId="31">
    <w:abstractNumId w:val="19"/>
  </w:num>
  <w:num w:numId="32">
    <w:abstractNumId w:val="62"/>
  </w:num>
  <w:num w:numId="33">
    <w:abstractNumId w:val="83"/>
  </w:num>
  <w:num w:numId="34">
    <w:abstractNumId w:val="34"/>
  </w:num>
  <w:num w:numId="35">
    <w:abstractNumId w:val="7"/>
  </w:num>
  <w:num w:numId="36">
    <w:abstractNumId w:val="82"/>
  </w:num>
  <w:num w:numId="37">
    <w:abstractNumId w:val="76"/>
  </w:num>
  <w:num w:numId="38">
    <w:abstractNumId w:val="89"/>
  </w:num>
  <w:num w:numId="39">
    <w:abstractNumId w:val="31"/>
  </w:num>
  <w:num w:numId="40">
    <w:abstractNumId w:val="38"/>
  </w:num>
  <w:num w:numId="41">
    <w:abstractNumId w:val="39"/>
  </w:num>
  <w:num w:numId="42">
    <w:abstractNumId w:val="48"/>
  </w:num>
  <w:num w:numId="43">
    <w:abstractNumId w:val="47"/>
  </w:num>
  <w:num w:numId="44">
    <w:abstractNumId w:val="59"/>
  </w:num>
  <w:num w:numId="45">
    <w:abstractNumId w:val="43"/>
  </w:num>
  <w:num w:numId="46">
    <w:abstractNumId w:val="50"/>
  </w:num>
  <w:num w:numId="47">
    <w:abstractNumId w:val="12"/>
  </w:num>
  <w:num w:numId="48">
    <w:abstractNumId w:val="4"/>
  </w:num>
  <w:num w:numId="49">
    <w:abstractNumId w:val="44"/>
  </w:num>
  <w:num w:numId="50">
    <w:abstractNumId w:val="40"/>
  </w:num>
  <w:num w:numId="51">
    <w:abstractNumId w:val="41"/>
  </w:num>
  <w:num w:numId="52">
    <w:abstractNumId w:val="8"/>
  </w:num>
  <w:num w:numId="53">
    <w:abstractNumId w:val="93"/>
  </w:num>
  <w:num w:numId="54">
    <w:abstractNumId w:val="32"/>
  </w:num>
  <w:num w:numId="55">
    <w:abstractNumId w:val="0"/>
  </w:num>
  <w:num w:numId="56">
    <w:abstractNumId w:val="45"/>
  </w:num>
  <w:num w:numId="57">
    <w:abstractNumId w:val="23"/>
  </w:num>
  <w:num w:numId="58">
    <w:abstractNumId w:val="54"/>
  </w:num>
  <w:num w:numId="59">
    <w:abstractNumId w:val="37"/>
  </w:num>
  <w:num w:numId="60">
    <w:abstractNumId w:val="57"/>
  </w:num>
  <w:num w:numId="61">
    <w:abstractNumId w:val="51"/>
  </w:num>
  <w:num w:numId="62">
    <w:abstractNumId w:val="27"/>
  </w:num>
  <w:num w:numId="63">
    <w:abstractNumId w:val="35"/>
  </w:num>
  <w:num w:numId="64">
    <w:abstractNumId w:val="61"/>
  </w:num>
  <w:num w:numId="65">
    <w:abstractNumId w:val="60"/>
  </w:num>
  <w:num w:numId="66">
    <w:abstractNumId w:val="71"/>
  </w:num>
  <w:num w:numId="67">
    <w:abstractNumId w:val="28"/>
  </w:num>
  <w:num w:numId="68">
    <w:abstractNumId w:val="18"/>
  </w:num>
  <w:num w:numId="69">
    <w:abstractNumId w:val="29"/>
  </w:num>
  <w:num w:numId="70">
    <w:abstractNumId w:val="58"/>
  </w:num>
  <w:num w:numId="71">
    <w:abstractNumId w:val="11"/>
  </w:num>
  <w:num w:numId="72">
    <w:abstractNumId w:val="21"/>
  </w:num>
  <w:num w:numId="73">
    <w:abstractNumId w:val="69"/>
  </w:num>
  <w:num w:numId="74">
    <w:abstractNumId w:val="80"/>
  </w:num>
  <w:num w:numId="75">
    <w:abstractNumId w:val="52"/>
  </w:num>
  <w:num w:numId="76">
    <w:abstractNumId w:val="92"/>
  </w:num>
  <w:num w:numId="77">
    <w:abstractNumId w:val="74"/>
  </w:num>
  <w:num w:numId="78">
    <w:abstractNumId w:val="86"/>
  </w:num>
  <w:num w:numId="79">
    <w:abstractNumId w:val="84"/>
  </w:num>
  <w:num w:numId="80">
    <w:abstractNumId w:val="72"/>
  </w:num>
  <w:num w:numId="81">
    <w:abstractNumId w:val="63"/>
  </w:num>
  <w:num w:numId="82">
    <w:abstractNumId w:val="2"/>
  </w:num>
  <w:num w:numId="83">
    <w:abstractNumId w:val="68"/>
  </w:num>
  <w:num w:numId="84">
    <w:abstractNumId w:val="66"/>
  </w:num>
  <w:num w:numId="85">
    <w:abstractNumId w:val="13"/>
  </w:num>
  <w:num w:numId="86">
    <w:abstractNumId w:val="65"/>
  </w:num>
  <w:num w:numId="87">
    <w:abstractNumId w:val="91"/>
  </w:num>
  <w:num w:numId="88">
    <w:abstractNumId w:val="26"/>
  </w:num>
  <w:num w:numId="89">
    <w:abstractNumId w:val="73"/>
  </w:num>
  <w:num w:numId="90">
    <w:abstractNumId w:val="46"/>
  </w:num>
  <w:num w:numId="91">
    <w:abstractNumId w:val="77"/>
  </w:num>
  <w:num w:numId="92">
    <w:abstractNumId w:val="33"/>
  </w:num>
  <w:num w:numId="93">
    <w:abstractNumId w:val="75"/>
  </w:num>
  <w:num w:numId="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FE4"/>
    <w:rsid w:val="00003BB7"/>
    <w:rsid w:val="00003C5D"/>
    <w:rsid w:val="00015B3B"/>
    <w:rsid w:val="00022559"/>
    <w:rsid w:val="0002348F"/>
    <w:rsid w:val="00032D5A"/>
    <w:rsid w:val="0003594B"/>
    <w:rsid w:val="000369CA"/>
    <w:rsid w:val="00036BD3"/>
    <w:rsid w:val="00041087"/>
    <w:rsid w:val="00044356"/>
    <w:rsid w:val="00045821"/>
    <w:rsid w:val="00053BDC"/>
    <w:rsid w:val="0005727D"/>
    <w:rsid w:val="0006701C"/>
    <w:rsid w:val="00075525"/>
    <w:rsid w:val="00077D20"/>
    <w:rsid w:val="0008027E"/>
    <w:rsid w:val="000844D0"/>
    <w:rsid w:val="0009020D"/>
    <w:rsid w:val="0009322F"/>
    <w:rsid w:val="000944B1"/>
    <w:rsid w:val="000A1260"/>
    <w:rsid w:val="000A6F02"/>
    <w:rsid w:val="000B2CBF"/>
    <w:rsid w:val="000B64F8"/>
    <w:rsid w:val="000D1737"/>
    <w:rsid w:val="000D4CEF"/>
    <w:rsid w:val="000D588E"/>
    <w:rsid w:val="000F40D7"/>
    <w:rsid w:val="000F44F1"/>
    <w:rsid w:val="0010670D"/>
    <w:rsid w:val="00106D52"/>
    <w:rsid w:val="00127DF1"/>
    <w:rsid w:val="00134049"/>
    <w:rsid w:val="001410F8"/>
    <w:rsid w:val="0014120A"/>
    <w:rsid w:val="001440C8"/>
    <w:rsid w:val="00146B92"/>
    <w:rsid w:val="00147C7C"/>
    <w:rsid w:val="00150C55"/>
    <w:rsid w:val="0015372C"/>
    <w:rsid w:val="0016489C"/>
    <w:rsid w:val="001679BC"/>
    <w:rsid w:val="001700FB"/>
    <w:rsid w:val="001711E7"/>
    <w:rsid w:val="00172072"/>
    <w:rsid w:val="00176300"/>
    <w:rsid w:val="0018409C"/>
    <w:rsid w:val="00194605"/>
    <w:rsid w:val="0019648C"/>
    <w:rsid w:val="001A0FDF"/>
    <w:rsid w:val="001A18A6"/>
    <w:rsid w:val="001A224B"/>
    <w:rsid w:val="001C1E85"/>
    <w:rsid w:val="001C2D9D"/>
    <w:rsid w:val="001C524A"/>
    <w:rsid w:val="001C678A"/>
    <w:rsid w:val="001D666C"/>
    <w:rsid w:val="001E2067"/>
    <w:rsid w:val="001E4E6C"/>
    <w:rsid w:val="001E5123"/>
    <w:rsid w:val="001E5C23"/>
    <w:rsid w:val="001E7829"/>
    <w:rsid w:val="001E7F8B"/>
    <w:rsid w:val="001F00B1"/>
    <w:rsid w:val="001F1E2C"/>
    <w:rsid w:val="001F4640"/>
    <w:rsid w:val="001F4870"/>
    <w:rsid w:val="00200DAC"/>
    <w:rsid w:val="00201708"/>
    <w:rsid w:val="00211BA8"/>
    <w:rsid w:val="0022511F"/>
    <w:rsid w:val="00232008"/>
    <w:rsid w:val="00233B5D"/>
    <w:rsid w:val="00240008"/>
    <w:rsid w:val="00242052"/>
    <w:rsid w:val="002435CA"/>
    <w:rsid w:val="00261A19"/>
    <w:rsid w:val="00267139"/>
    <w:rsid w:val="0026734A"/>
    <w:rsid w:val="0027053B"/>
    <w:rsid w:val="00273052"/>
    <w:rsid w:val="00273721"/>
    <w:rsid w:val="00280A1E"/>
    <w:rsid w:val="002B2C64"/>
    <w:rsid w:val="002C4429"/>
    <w:rsid w:val="002D6F03"/>
    <w:rsid w:val="002F2CA8"/>
    <w:rsid w:val="002F3A03"/>
    <w:rsid w:val="0030365A"/>
    <w:rsid w:val="00303788"/>
    <w:rsid w:val="0030574A"/>
    <w:rsid w:val="003165A2"/>
    <w:rsid w:val="003222C5"/>
    <w:rsid w:val="0032433A"/>
    <w:rsid w:val="00332684"/>
    <w:rsid w:val="00332C5F"/>
    <w:rsid w:val="00352441"/>
    <w:rsid w:val="00353B1E"/>
    <w:rsid w:val="00353EF8"/>
    <w:rsid w:val="003572F0"/>
    <w:rsid w:val="00360842"/>
    <w:rsid w:val="00363D6D"/>
    <w:rsid w:val="00371DC3"/>
    <w:rsid w:val="00373D3A"/>
    <w:rsid w:val="00373F4D"/>
    <w:rsid w:val="00376172"/>
    <w:rsid w:val="003810E9"/>
    <w:rsid w:val="003865E2"/>
    <w:rsid w:val="003A1DE6"/>
    <w:rsid w:val="003A310E"/>
    <w:rsid w:val="003A3BCF"/>
    <w:rsid w:val="003C2149"/>
    <w:rsid w:val="003D34BC"/>
    <w:rsid w:val="003E370C"/>
    <w:rsid w:val="003F7472"/>
    <w:rsid w:val="00406CD3"/>
    <w:rsid w:val="00410E75"/>
    <w:rsid w:val="0041735E"/>
    <w:rsid w:val="00417434"/>
    <w:rsid w:val="00424523"/>
    <w:rsid w:val="004252C6"/>
    <w:rsid w:val="004337A4"/>
    <w:rsid w:val="004369A8"/>
    <w:rsid w:val="00440A5C"/>
    <w:rsid w:val="00450A97"/>
    <w:rsid w:val="00450EEE"/>
    <w:rsid w:val="00454880"/>
    <w:rsid w:val="0045534B"/>
    <w:rsid w:val="00472396"/>
    <w:rsid w:val="0047543F"/>
    <w:rsid w:val="004915F7"/>
    <w:rsid w:val="0049433B"/>
    <w:rsid w:val="004A39A7"/>
    <w:rsid w:val="004B08C8"/>
    <w:rsid w:val="004B1435"/>
    <w:rsid w:val="004B34A8"/>
    <w:rsid w:val="004B65DA"/>
    <w:rsid w:val="004B7016"/>
    <w:rsid w:val="004C59D2"/>
    <w:rsid w:val="004D286C"/>
    <w:rsid w:val="004D2BD0"/>
    <w:rsid w:val="004D6992"/>
    <w:rsid w:val="004E5CA7"/>
    <w:rsid w:val="004E70A0"/>
    <w:rsid w:val="004F0457"/>
    <w:rsid w:val="004F15DD"/>
    <w:rsid w:val="004F5BF5"/>
    <w:rsid w:val="00500608"/>
    <w:rsid w:val="00516FD3"/>
    <w:rsid w:val="00523AFE"/>
    <w:rsid w:val="0052635B"/>
    <w:rsid w:val="00527F95"/>
    <w:rsid w:val="00536C9F"/>
    <w:rsid w:val="00537A3D"/>
    <w:rsid w:val="005421E0"/>
    <w:rsid w:val="0056370A"/>
    <w:rsid w:val="00565A1E"/>
    <w:rsid w:val="0057200A"/>
    <w:rsid w:val="00573C48"/>
    <w:rsid w:val="005800A8"/>
    <w:rsid w:val="005861DC"/>
    <w:rsid w:val="005A6E63"/>
    <w:rsid w:val="005A738F"/>
    <w:rsid w:val="005B036B"/>
    <w:rsid w:val="005C1902"/>
    <w:rsid w:val="005C6405"/>
    <w:rsid w:val="005C66C1"/>
    <w:rsid w:val="005D799B"/>
    <w:rsid w:val="005E45AF"/>
    <w:rsid w:val="005F0873"/>
    <w:rsid w:val="005F5353"/>
    <w:rsid w:val="00601D99"/>
    <w:rsid w:val="00602CE5"/>
    <w:rsid w:val="0060341B"/>
    <w:rsid w:val="006038DE"/>
    <w:rsid w:val="006066D1"/>
    <w:rsid w:val="00611C45"/>
    <w:rsid w:val="006140A0"/>
    <w:rsid w:val="00616661"/>
    <w:rsid w:val="006171AD"/>
    <w:rsid w:val="006207BB"/>
    <w:rsid w:val="00621E3D"/>
    <w:rsid w:val="00623B7A"/>
    <w:rsid w:val="006363F1"/>
    <w:rsid w:val="00637562"/>
    <w:rsid w:val="00640862"/>
    <w:rsid w:val="00640C01"/>
    <w:rsid w:val="00645DC0"/>
    <w:rsid w:val="00646584"/>
    <w:rsid w:val="00646B56"/>
    <w:rsid w:val="00656AA1"/>
    <w:rsid w:val="00674314"/>
    <w:rsid w:val="00683168"/>
    <w:rsid w:val="00684F64"/>
    <w:rsid w:val="00690634"/>
    <w:rsid w:val="0069153F"/>
    <w:rsid w:val="006950D7"/>
    <w:rsid w:val="006965F2"/>
    <w:rsid w:val="00696618"/>
    <w:rsid w:val="006D1464"/>
    <w:rsid w:val="006D5DAD"/>
    <w:rsid w:val="006D761D"/>
    <w:rsid w:val="006E1FA9"/>
    <w:rsid w:val="006E2617"/>
    <w:rsid w:val="006F0118"/>
    <w:rsid w:val="006F3956"/>
    <w:rsid w:val="006F6D0A"/>
    <w:rsid w:val="007002A2"/>
    <w:rsid w:val="0071035D"/>
    <w:rsid w:val="00713050"/>
    <w:rsid w:val="007140BD"/>
    <w:rsid w:val="0072634C"/>
    <w:rsid w:val="00730749"/>
    <w:rsid w:val="00750B27"/>
    <w:rsid w:val="00751B4A"/>
    <w:rsid w:val="00755EFB"/>
    <w:rsid w:val="007560F6"/>
    <w:rsid w:val="00760BCD"/>
    <w:rsid w:val="00764B72"/>
    <w:rsid w:val="00764D09"/>
    <w:rsid w:val="00772DF9"/>
    <w:rsid w:val="00777B92"/>
    <w:rsid w:val="007874CB"/>
    <w:rsid w:val="00793A4C"/>
    <w:rsid w:val="007A6F90"/>
    <w:rsid w:val="007A77EF"/>
    <w:rsid w:val="007B37DE"/>
    <w:rsid w:val="007C2CEC"/>
    <w:rsid w:val="007C37E0"/>
    <w:rsid w:val="007D4C1B"/>
    <w:rsid w:val="007D57ED"/>
    <w:rsid w:val="007F0DF6"/>
    <w:rsid w:val="00801744"/>
    <w:rsid w:val="0080317C"/>
    <w:rsid w:val="00805851"/>
    <w:rsid w:val="00805D2D"/>
    <w:rsid w:val="008066BF"/>
    <w:rsid w:val="00812787"/>
    <w:rsid w:val="008130DD"/>
    <w:rsid w:val="00813A3A"/>
    <w:rsid w:val="00814E4D"/>
    <w:rsid w:val="008243D6"/>
    <w:rsid w:val="008250F2"/>
    <w:rsid w:val="00840592"/>
    <w:rsid w:val="008437CC"/>
    <w:rsid w:val="008459BE"/>
    <w:rsid w:val="008472E6"/>
    <w:rsid w:val="00847F22"/>
    <w:rsid w:val="00850343"/>
    <w:rsid w:val="00853DD2"/>
    <w:rsid w:val="0085713B"/>
    <w:rsid w:val="00857F62"/>
    <w:rsid w:val="008729E4"/>
    <w:rsid w:val="00875FE6"/>
    <w:rsid w:val="00877756"/>
    <w:rsid w:val="00880555"/>
    <w:rsid w:val="00882ED4"/>
    <w:rsid w:val="0088426D"/>
    <w:rsid w:val="008978D5"/>
    <w:rsid w:val="008A4AFC"/>
    <w:rsid w:val="008A7550"/>
    <w:rsid w:val="008B0284"/>
    <w:rsid w:val="008B239D"/>
    <w:rsid w:val="008B2E6F"/>
    <w:rsid w:val="008B399A"/>
    <w:rsid w:val="008B7F94"/>
    <w:rsid w:val="008C24DC"/>
    <w:rsid w:val="008C4B5C"/>
    <w:rsid w:val="008D4DAC"/>
    <w:rsid w:val="008D566F"/>
    <w:rsid w:val="008D70A1"/>
    <w:rsid w:val="008E405B"/>
    <w:rsid w:val="008E5053"/>
    <w:rsid w:val="008E597E"/>
    <w:rsid w:val="00903448"/>
    <w:rsid w:val="00903835"/>
    <w:rsid w:val="00906E0B"/>
    <w:rsid w:val="00912B6C"/>
    <w:rsid w:val="0092041C"/>
    <w:rsid w:val="009233D0"/>
    <w:rsid w:val="00960009"/>
    <w:rsid w:val="009636C4"/>
    <w:rsid w:val="009643BE"/>
    <w:rsid w:val="00965189"/>
    <w:rsid w:val="00975B97"/>
    <w:rsid w:val="00982584"/>
    <w:rsid w:val="00982B3B"/>
    <w:rsid w:val="00983C12"/>
    <w:rsid w:val="009946F8"/>
    <w:rsid w:val="00994CDE"/>
    <w:rsid w:val="009971A3"/>
    <w:rsid w:val="00997C5E"/>
    <w:rsid w:val="009A33B4"/>
    <w:rsid w:val="009B04EF"/>
    <w:rsid w:val="009B5B1A"/>
    <w:rsid w:val="009C11EE"/>
    <w:rsid w:val="009C1A96"/>
    <w:rsid w:val="009C2C8D"/>
    <w:rsid w:val="009C2FB5"/>
    <w:rsid w:val="009C3FFB"/>
    <w:rsid w:val="009C646C"/>
    <w:rsid w:val="009C7700"/>
    <w:rsid w:val="009C7C3F"/>
    <w:rsid w:val="009E39D1"/>
    <w:rsid w:val="009E6B51"/>
    <w:rsid w:val="009F0189"/>
    <w:rsid w:val="009F0DF0"/>
    <w:rsid w:val="00A03E6B"/>
    <w:rsid w:val="00A06EEA"/>
    <w:rsid w:val="00A10DD4"/>
    <w:rsid w:val="00A34511"/>
    <w:rsid w:val="00A36C2D"/>
    <w:rsid w:val="00A443ED"/>
    <w:rsid w:val="00A5094D"/>
    <w:rsid w:val="00A6170B"/>
    <w:rsid w:val="00A626E2"/>
    <w:rsid w:val="00A62E6B"/>
    <w:rsid w:val="00A67075"/>
    <w:rsid w:val="00A7505D"/>
    <w:rsid w:val="00A80136"/>
    <w:rsid w:val="00A82785"/>
    <w:rsid w:val="00A954F8"/>
    <w:rsid w:val="00AA3FF9"/>
    <w:rsid w:val="00AB0EB1"/>
    <w:rsid w:val="00AB31B1"/>
    <w:rsid w:val="00AC5F11"/>
    <w:rsid w:val="00AD0BFF"/>
    <w:rsid w:val="00AD2B02"/>
    <w:rsid w:val="00AD5034"/>
    <w:rsid w:val="00AE0665"/>
    <w:rsid w:val="00AE08F4"/>
    <w:rsid w:val="00AE3EF8"/>
    <w:rsid w:val="00AF4985"/>
    <w:rsid w:val="00B016FC"/>
    <w:rsid w:val="00B06AD5"/>
    <w:rsid w:val="00B07E12"/>
    <w:rsid w:val="00B134B8"/>
    <w:rsid w:val="00B309EA"/>
    <w:rsid w:val="00B3702E"/>
    <w:rsid w:val="00B42E3A"/>
    <w:rsid w:val="00B5023D"/>
    <w:rsid w:val="00B53A4C"/>
    <w:rsid w:val="00B55EE5"/>
    <w:rsid w:val="00B62707"/>
    <w:rsid w:val="00B6540C"/>
    <w:rsid w:val="00B7162D"/>
    <w:rsid w:val="00B76D87"/>
    <w:rsid w:val="00B82EC8"/>
    <w:rsid w:val="00BA0BAC"/>
    <w:rsid w:val="00BA4C35"/>
    <w:rsid w:val="00BB3DE5"/>
    <w:rsid w:val="00BB7280"/>
    <w:rsid w:val="00BB7B9D"/>
    <w:rsid w:val="00BC169A"/>
    <w:rsid w:val="00BC600A"/>
    <w:rsid w:val="00BC72B0"/>
    <w:rsid w:val="00BD23F1"/>
    <w:rsid w:val="00BD605C"/>
    <w:rsid w:val="00BE10CF"/>
    <w:rsid w:val="00BE44F1"/>
    <w:rsid w:val="00BF1514"/>
    <w:rsid w:val="00BF43B2"/>
    <w:rsid w:val="00BF5DE6"/>
    <w:rsid w:val="00C02706"/>
    <w:rsid w:val="00C05585"/>
    <w:rsid w:val="00C05698"/>
    <w:rsid w:val="00C07037"/>
    <w:rsid w:val="00C1624C"/>
    <w:rsid w:val="00C24998"/>
    <w:rsid w:val="00C26A1F"/>
    <w:rsid w:val="00C27918"/>
    <w:rsid w:val="00C42A38"/>
    <w:rsid w:val="00C431C8"/>
    <w:rsid w:val="00C55677"/>
    <w:rsid w:val="00C62BE5"/>
    <w:rsid w:val="00C636DD"/>
    <w:rsid w:val="00C63AFD"/>
    <w:rsid w:val="00C70E36"/>
    <w:rsid w:val="00C72CDF"/>
    <w:rsid w:val="00C737F2"/>
    <w:rsid w:val="00C739AA"/>
    <w:rsid w:val="00C75AF5"/>
    <w:rsid w:val="00C857EC"/>
    <w:rsid w:val="00C93530"/>
    <w:rsid w:val="00C968FC"/>
    <w:rsid w:val="00CA0561"/>
    <w:rsid w:val="00CB01C8"/>
    <w:rsid w:val="00CB1AA3"/>
    <w:rsid w:val="00CB1E12"/>
    <w:rsid w:val="00CC0279"/>
    <w:rsid w:val="00CC0B35"/>
    <w:rsid w:val="00CC46F7"/>
    <w:rsid w:val="00CD2432"/>
    <w:rsid w:val="00CD2D7C"/>
    <w:rsid w:val="00CD3E55"/>
    <w:rsid w:val="00CE72BF"/>
    <w:rsid w:val="00D049E3"/>
    <w:rsid w:val="00D06756"/>
    <w:rsid w:val="00D1070F"/>
    <w:rsid w:val="00D12FDA"/>
    <w:rsid w:val="00D20115"/>
    <w:rsid w:val="00D25D86"/>
    <w:rsid w:val="00D37263"/>
    <w:rsid w:val="00D40140"/>
    <w:rsid w:val="00D43AD0"/>
    <w:rsid w:val="00D50606"/>
    <w:rsid w:val="00D57069"/>
    <w:rsid w:val="00D65394"/>
    <w:rsid w:val="00D70FE4"/>
    <w:rsid w:val="00D72A14"/>
    <w:rsid w:val="00D733CA"/>
    <w:rsid w:val="00D74E0D"/>
    <w:rsid w:val="00D82BC1"/>
    <w:rsid w:val="00D9040A"/>
    <w:rsid w:val="00D95BFE"/>
    <w:rsid w:val="00D97711"/>
    <w:rsid w:val="00DA061E"/>
    <w:rsid w:val="00DA1C09"/>
    <w:rsid w:val="00DA5A32"/>
    <w:rsid w:val="00DC0B7C"/>
    <w:rsid w:val="00DC3110"/>
    <w:rsid w:val="00DD6E16"/>
    <w:rsid w:val="00DE3D90"/>
    <w:rsid w:val="00E01F55"/>
    <w:rsid w:val="00E033F4"/>
    <w:rsid w:val="00E0495E"/>
    <w:rsid w:val="00E0616A"/>
    <w:rsid w:val="00E14A5B"/>
    <w:rsid w:val="00E331FC"/>
    <w:rsid w:val="00E366A8"/>
    <w:rsid w:val="00E40140"/>
    <w:rsid w:val="00E42126"/>
    <w:rsid w:val="00E45213"/>
    <w:rsid w:val="00E46EF5"/>
    <w:rsid w:val="00E50705"/>
    <w:rsid w:val="00E51C62"/>
    <w:rsid w:val="00E52B2A"/>
    <w:rsid w:val="00E53D01"/>
    <w:rsid w:val="00E57C2B"/>
    <w:rsid w:val="00E62122"/>
    <w:rsid w:val="00E657AF"/>
    <w:rsid w:val="00E71173"/>
    <w:rsid w:val="00E7243A"/>
    <w:rsid w:val="00E75D1E"/>
    <w:rsid w:val="00E83829"/>
    <w:rsid w:val="00E85D50"/>
    <w:rsid w:val="00E92205"/>
    <w:rsid w:val="00E94210"/>
    <w:rsid w:val="00E9626B"/>
    <w:rsid w:val="00E97E59"/>
    <w:rsid w:val="00EA2E32"/>
    <w:rsid w:val="00EA6BA0"/>
    <w:rsid w:val="00EA718D"/>
    <w:rsid w:val="00EB2781"/>
    <w:rsid w:val="00EB6CC8"/>
    <w:rsid w:val="00EC1295"/>
    <w:rsid w:val="00EC21D1"/>
    <w:rsid w:val="00EC7462"/>
    <w:rsid w:val="00EC7DFB"/>
    <w:rsid w:val="00EE2293"/>
    <w:rsid w:val="00EE5B23"/>
    <w:rsid w:val="00EE767F"/>
    <w:rsid w:val="00F024F1"/>
    <w:rsid w:val="00F05932"/>
    <w:rsid w:val="00F07A42"/>
    <w:rsid w:val="00F10F4E"/>
    <w:rsid w:val="00F17861"/>
    <w:rsid w:val="00F35672"/>
    <w:rsid w:val="00F37A1C"/>
    <w:rsid w:val="00F41381"/>
    <w:rsid w:val="00F42855"/>
    <w:rsid w:val="00F45FE1"/>
    <w:rsid w:val="00F62955"/>
    <w:rsid w:val="00F648A3"/>
    <w:rsid w:val="00F65480"/>
    <w:rsid w:val="00F707BF"/>
    <w:rsid w:val="00F72106"/>
    <w:rsid w:val="00F7648B"/>
    <w:rsid w:val="00F777F1"/>
    <w:rsid w:val="00F84975"/>
    <w:rsid w:val="00F85F55"/>
    <w:rsid w:val="00F92DDF"/>
    <w:rsid w:val="00F92E5B"/>
    <w:rsid w:val="00F95808"/>
    <w:rsid w:val="00FA03EF"/>
    <w:rsid w:val="00FA0EDF"/>
    <w:rsid w:val="00FA13CC"/>
    <w:rsid w:val="00FB5D9F"/>
    <w:rsid w:val="00FB65B2"/>
    <w:rsid w:val="00FC3D16"/>
    <w:rsid w:val="00FC662A"/>
    <w:rsid w:val="00FD762B"/>
    <w:rsid w:val="00FD7810"/>
    <w:rsid w:val="00FE099A"/>
    <w:rsid w:val="00FE2A18"/>
    <w:rsid w:val="00FE5E14"/>
    <w:rsid w:val="00FE65AE"/>
    <w:rsid w:val="00FF3ECF"/>
    <w:rsid w:val="00FF6DC6"/>
    <w:rsid w:val="074256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細明體"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新細明體" w:cs="Times New Roman"/>
      <w:kern w:val="2"/>
      <w:sz w:val="24"/>
      <w:szCs w:val="22"/>
      <w:lang w:val="en-US" w:eastAsia="zh-TW"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Calibri Light" w:hAnsi="Calibri Light"/>
      <w:sz w:val="18"/>
      <w:szCs w:val="18"/>
    </w:rPr>
  </w:style>
  <w:style w:type="character" w:styleId="5">
    <w:name w:val="annotation reference"/>
    <w:semiHidden/>
    <w:unhideWhenUsed/>
    <w:qFormat/>
    <w:uiPriority w:val="99"/>
    <w:rPr>
      <w:sz w:val="18"/>
      <w:szCs w:val="18"/>
    </w:rPr>
  </w:style>
  <w:style w:type="paragraph" w:styleId="6">
    <w:name w:val="annotation text"/>
    <w:basedOn w:val="1"/>
    <w:link w:val="18"/>
    <w:unhideWhenUsed/>
    <w:qFormat/>
    <w:uiPriority w:val="99"/>
  </w:style>
  <w:style w:type="paragraph" w:styleId="7">
    <w:name w:val="annotation subject"/>
    <w:basedOn w:val="6"/>
    <w:next w:val="6"/>
    <w:link w:val="19"/>
    <w:semiHidden/>
    <w:unhideWhenUsed/>
    <w:qFormat/>
    <w:uiPriority w:val="99"/>
    <w:rPr>
      <w:b/>
      <w:bCs/>
    </w:rPr>
  </w:style>
  <w:style w:type="paragraph" w:styleId="8">
    <w:name w:val="footer"/>
    <w:basedOn w:val="1"/>
    <w:link w:val="12"/>
    <w:qFormat/>
    <w:uiPriority w:val="99"/>
    <w:pPr>
      <w:tabs>
        <w:tab w:val="center" w:pos="4153"/>
        <w:tab w:val="right" w:pos="8306"/>
      </w:tabs>
      <w:snapToGrid w:val="0"/>
    </w:pPr>
    <w:rPr>
      <w:kern w:val="0"/>
      <w:sz w:val="20"/>
      <w:szCs w:val="20"/>
      <w:lang w:val="zh-CN" w:eastAsia="zh-CN"/>
    </w:rPr>
  </w:style>
  <w:style w:type="paragraph" w:styleId="9">
    <w:name w:val="header"/>
    <w:basedOn w:val="1"/>
    <w:link w:val="15"/>
    <w:unhideWhenUsed/>
    <w:uiPriority w:val="99"/>
    <w:pPr>
      <w:tabs>
        <w:tab w:val="center" w:pos="4153"/>
        <w:tab w:val="right" w:pos="8306"/>
      </w:tabs>
      <w:snapToGrid w:val="0"/>
    </w:pPr>
    <w:rPr>
      <w:sz w:val="20"/>
      <w:szCs w:val="20"/>
    </w:rPr>
  </w:style>
  <w:style w:type="paragraph" w:styleId="10">
    <w:name w:val="Normal (Web)"/>
    <w:basedOn w:val="1"/>
    <w:uiPriority w:val="99"/>
    <w:pPr>
      <w:widowControl/>
      <w:spacing w:before="100" w:beforeAutospacing="1" w:after="100" w:afterAutospacing="1"/>
    </w:pPr>
    <w:rPr>
      <w:rFonts w:ascii="新細明體" w:hAnsi="新細明體" w:cs="新細明體"/>
      <w:kern w:val="0"/>
      <w:szCs w:val="24"/>
    </w:rPr>
  </w:style>
  <w:style w:type="character" w:styleId="11">
    <w:name w:val="page number"/>
    <w:basedOn w:val="2"/>
    <w:qFormat/>
    <w:uiPriority w:val="0"/>
  </w:style>
  <w:style w:type="character" w:customStyle="1" w:styleId="12">
    <w:name w:val="頁尾 字元"/>
    <w:link w:val="8"/>
    <w:uiPriority w:val="99"/>
    <w:rPr>
      <w:rFonts w:ascii="Calibri" w:hAnsi="Calibri" w:eastAsia="新細明體" w:cs="Times New Roman"/>
      <w:kern w:val="0"/>
      <w:sz w:val="20"/>
      <w:szCs w:val="20"/>
      <w:lang w:val="zh-CN" w:eastAsia="zh-CN"/>
    </w:rPr>
  </w:style>
  <w:style w:type="paragraph" w:customStyle="1" w:styleId="13">
    <w:name w:val="清單段落1"/>
    <w:basedOn w:val="1"/>
    <w:uiPriority w:val="0"/>
    <w:pPr>
      <w:ind w:left="480" w:leftChars="200"/>
    </w:pPr>
  </w:style>
  <w:style w:type="paragraph" w:styleId="14">
    <w:name w:val="List Paragraph"/>
    <w:basedOn w:val="1"/>
    <w:qFormat/>
    <w:uiPriority w:val="34"/>
    <w:pPr>
      <w:ind w:left="480" w:leftChars="200"/>
    </w:pPr>
  </w:style>
  <w:style w:type="character" w:customStyle="1" w:styleId="15">
    <w:name w:val="頁首 字元"/>
    <w:link w:val="9"/>
    <w:qFormat/>
    <w:uiPriority w:val="99"/>
    <w:rPr>
      <w:rFonts w:ascii="Calibri" w:hAnsi="Calibri" w:eastAsia="新細明體" w:cs="Times New Roman"/>
      <w:sz w:val="20"/>
      <w:szCs w:val="20"/>
    </w:rPr>
  </w:style>
  <w:style w:type="character" w:customStyle="1" w:styleId="16">
    <w:name w:val="註解方塊文字 字元"/>
    <w:link w:val="4"/>
    <w:semiHidden/>
    <w:qFormat/>
    <w:uiPriority w:val="99"/>
    <w:rPr>
      <w:rFonts w:ascii="Calibri Light" w:hAnsi="Calibri Light" w:eastAsia="新細明體" w:cs="Times New Roman"/>
      <w:sz w:val="18"/>
      <w:szCs w:val="18"/>
    </w:rPr>
  </w:style>
  <w:style w:type="paragraph" w:customStyle="1" w:styleId="17">
    <w:name w:val="Revision"/>
    <w:hidden/>
    <w:semiHidden/>
    <w:qFormat/>
    <w:uiPriority w:val="99"/>
    <w:rPr>
      <w:rFonts w:ascii="Calibri" w:hAnsi="Calibri" w:eastAsia="新細明體" w:cs="Times New Roman"/>
      <w:kern w:val="2"/>
      <w:sz w:val="24"/>
      <w:szCs w:val="22"/>
      <w:lang w:val="en-US" w:eastAsia="zh-TW" w:bidi="ar-SA"/>
    </w:rPr>
  </w:style>
  <w:style w:type="character" w:customStyle="1" w:styleId="18">
    <w:name w:val="註解文字 字元"/>
    <w:link w:val="6"/>
    <w:uiPriority w:val="99"/>
    <w:rPr>
      <w:kern w:val="2"/>
      <w:sz w:val="24"/>
      <w:szCs w:val="22"/>
    </w:rPr>
  </w:style>
  <w:style w:type="character" w:customStyle="1" w:styleId="19">
    <w:name w:val="註解主旨 字元"/>
    <w:link w:val="7"/>
    <w:semiHidden/>
    <w:uiPriority w:val="99"/>
    <w:rPr>
      <w:b/>
      <w:bCs/>
      <w:kern w:val="2"/>
      <w:sz w:val="24"/>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623E6-3C76-467E-B1C4-F4B87737898D}">
  <ds:schemaRefs/>
</ds:datastoreItem>
</file>

<file path=docProps/app.xml><?xml version="1.0" encoding="utf-8"?>
<Properties xmlns="http://schemas.openxmlformats.org/officeDocument/2006/extended-properties" xmlns:vt="http://schemas.openxmlformats.org/officeDocument/2006/docPropsVTypes">
  <Template>Normal</Template>
  <Pages>26</Pages>
  <Words>3075</Words>
  <Characters>17529</Characters>
  <Lines>146</Lines>
  <Paragraphs>41</Paragraphs>
  <TotalTime>795</TotalTime>
  <ScaleCrop>false</ScaleCrop>
  <LinksUpToDate>false</LinksUpToDate>
  <CharactersWithSpaces>20563</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2023-07-04T07:19:00Z</dcterms:created>
  <dc:creator>linda.shiu@iisigroup.com</dc:creator>
  <cp:lastModifiedBy>Ayang.Wu</cp:lastModifiedBy>
  <cp:lastPrinted>2024-07-12T07:36:00Z</cp:lastPrinted>
  <dcterms:modified xsi:type="dcterms:W3CDTF">2025-02-26T12:37:25Z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2023-07-04T07:19:37Z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e556de32-73c7-4cda-b456-749121f2a89a</vt:lpwstr>
  </property>
  <property fmtid="{D5CDD505-2E9C-101B-9397-08002B2CF9AE}" pid="8" name="MSIP_Label_755196ac-7daa-415d-ac3a-bda7dffaa0f9_ContentBits">
    <vt:lpwstr>0</vt:lpwstr>
  </property>
  <property fmtid="{D5CDD505-2E9C-101B-9397-08002B2CF9AE}" pid="9" name="KSOProductBuildVer">
    <vt:lpwstr>1033-12.2.0.19821</vt:lpwstr>
  </property>
  <property fmtid="{D5CDD505-2E9C-101B-9397-08002B2CF9AE}" pid="10" name="ICV">
    <vt:lpwstr>493339FF233F4C5680701A4D8AD0F5BF_12</vt:lpwstr>
  </property>
</Properties>
</file>